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71" w:rsidRPr="004F5D71" w:rsidRDefault="004F5D71" w:rsidP="004F5D71">
      <w:pPr>
        <w:jc w:val="right"/>
      </w:pPr>
      <w:bookmarkStart w:id="0" w:name="_GoBack"/>
      <w:bookmarkEnd w:id="0"/>
      <w:r w:rsidRPr="004F5D71">
        <w:t>УТВЕРЖДЕНА</w:t>
      </w:r>
    </w:p>
    <w:p w:rsidR="004F5D71" w:rsidRPr="004F5D71" w:rsidRDefault="004F5D71" w:rsidP="004F5D71">
      <w:pPr>
        <w:jc w:val="right"/>
      </w:pPr>
      <w:r w:rsidRPr="004F5D71">
        <w:t>приказом Министерства образования</w:t>
      </w:r>
    </w:p>
    <w:p w:rsidR="004F5D71" w:rsidRPr="004F5D71" w:rsidRDefault="004F5D71" w:rsidP="004F5D71">
      <w:pPr>
        <w:jc w:val="right"/>
      </w:pPr>
      <w:r w:rsidRPr="004F5D71">
        <w:t>и науки Российской Федерации</w:t>
      </w:r>
    </w:p>
    <w:p w:rsidR="004F5D71" w:rsidRPr="004F5D71" w:rsidRDefault="004F5D71" w:rsidP="004F5D71">
      <w:pPr>
        <w:jc w:val="right"/>
      </w:pPr>
      <w:r w:rsidRPr="004F5D71">
        <w:t>от 27 августа 2014г. №1146</w:t>
      </w:r>
    </w:p>
    <w:p w:rsidR="004F5D71" w:rsidRDefault="004F5D71" w:rsidP="004F5D71">
      <w:pPr>
        <w:jc w:val="center"/>
      </w:pPr>
      <w:r>
        <w:t>Итоговый отчет</w:t>
      </w:r>
    </w:p>
    <w:p w:rsidR="004F5D71" w:rsidRDefault="00E6030D" w:rsidP="004F5D71">
      <w:pPr>
        <w:jc w:val="center"/>
      </w:pPr>
      <w:r>
        <w:t>Карасукского</w:t>
      </w:r>
      <w:r w:rsidR="004F5D71">
        <w:t xml:space="preserve"> район</w:t>
      </w:r>
      <w:r>
        <w:t>а</w:t>
      </w:r>
      <w:r w:rsidR="004F5D71">
        <w:t xml:space="preserve"> Новосибирской области</w:t>
      </w:r>
    </w:p>
    <w:p w:rsidR="004F5D71" w:rsidRDefault="004F5D71" w:rsidP="004F5D71">
      <w:pPr>
        <w:jc w:val="center"/>
      </w:pPr>
      <w:r>
        <w:t xml:space="preserve">  о   результатах анализа и перспектив развития системы образования </w:t>
      </w:r>
    </w:p>
    <w:p w:rsidR="004F5D71" w:rsidRDefault="00221720" w:rsidP="004F5D71">
      <w:pPr>
        <w:jc w:val="center"/>
      </w:pPr>
      <w:r>
        <w:t>за 2014</w:t>
      </w:r>
      <w:r w:rsidR="004F5D71">
        <w:t xml:space="preserve"> год</w:t>
      </w:r>
    </w:p>
    <w:p w:rsidR="004F5D71" w:rsidRPr="009C1374" w:rsidRDefault="004F5D71" w:rsidP="004F5D71">
      <w:pPr>
        <w:rPr>
          <w:b/>
        </w:rPr>
      </w:pPr>
      <w:r w:rsidRPr="009C1374">
        <w:rPr>
          <w:b/>
          <w:lang w:val="en-US"/>
        </w:rPr>
        <w:t>I</w:t>
      </w:r>
      <w:r w:rsidRPr="009C1374">
        <w:rPr>
          <w:b/>
        </w:rPr>
        <w:t>.Анализ состояния и перспектив развития системы образования</w:t>
      </w:r>
    </w:p>
    <w:p w:rsidR="00026D6C" w:rsidRPr="00F37886" w:rsidRDefault="004F5D71" w:rsidP="00F37886">
      <w:pPr>
        <w:rPr>
          <w:b/>
        </w:rPr>
      </w:pPr>
      <w:r w:rsidRPr="009C1374">
        <w:rPr>
          <w:b/>
        </w:rPr>
        <w:t>1.Вводная часть</w:t>
      </w:r>
      <w:r w:rsidR="00995B9A" w:rsidRPr="009C1374">
        <w:rPr>
          <w:b/>
        </w:rPr>
        <w:t>.</w:t>
      </w:r>
      <w:r w:rsidR="00F37886">
        <w:rPr>
          <w:b/>
        </w:rPr>
        <w:t xml:space="preserve"> </w:t>
      </w:r>
    </w:p>
    <w:p w:rsidR="00F37886" w:rsidRPr="00A72BDE" w:rsidRDefault="00F37886" w:rsidP="00026D6C">
      <w:pPr>
        <w:jc w:val="both"/>
      </w:pPr>
      <w:r w:rsidRPr="00A72BDE">
        <w:rPr>
          <w:noProof/>
        </w:rPr>
        <w:drawing>
          <wp:inline distT="0" distB="0" distL="0" distR="0" wp14:anchorId="52A0CD68" wp14:editId="7DF4F97A">
            <wp:extent cx="951230" cy="116459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8385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4558"/>
        <w:gridCol w:w="3827"/>
      </w:tblGrid>
      <w:tr w:rsidR="00A72BDE" w:rsidRPr="00A72BDE" w:rsidTr="00F37886">
        <w:trPr>
          <w:tblCellSpacing w:w="15" w:type="dxa"/>
        </w:trPr>
        <w:tc>
          <w:tcPr>
            <w:tcW w:w="4513" w:type="dxa"/>
            <w:shd w:val="clear" w:color="auto" w:fill="A3EEA3"/>
            <w:tcMar>
              <w:top w:w="96" w:type="dxa"/>
              <w:left w:w="75" w:type="dxa"/>
              <w:bottom w:w="96" w:type="dxa"/>
              <w:right w:w="75" w:type="dxa"/>
            </w:tcMar>
            <w:hideMark/>
          </w:tcPr>
          <w:p w:rsidR="00F37886" w:rsidRPr="00A72BDE" w:rsidRDefault="00F37886" w:rsidP="00AF5527">
            <w:pPr>
              <w:jc w:val="both"/>
            </w:pPr>
            <w:r w:rsidRPr="00A72BDE">
              <w:t>Включает</w:t>
            </w:r>
          </w:p>
        </w:tc>
        <w:tc>
          <w:tcPr>
            <w:tcW w:w="3782" w:type="dxa"/>
            <w:shd w:val="clear" w:color="auto" w:fill="F9F9F9"/>
            <w:hideMark/>
          </w:tcPr>
          <w:p w:rsidR="00F37886" w:rsidRPr="00A72BDE" w:rsidRDefault="00F37886" w:rsidP="00AF5527">
            <w:pPr>
              <w:jc w:val="both"/>
            </w:pPr>
            <w:r w:rsidRPr="00A72BDE">
              <w:t xml:space="preserve">12 </w:t>
            </w:r>
            <w:hyperlink r:id="rId7" w:tooltip="Муниципальное образование" w:history="1">
              <w:r w:rsidRPr="00A72BDE">
                <w:rPr>
                  <w:rStyle w:val="a8"/>
                  <w:color w:val="auto"/>
                </w:rPr>
                <w:t>муниципальных образований</w:t>
              </w:r>
            </w:hyperlink>
          </w:p>
        </w:tc>
      </w:tr>
      <w:tr w:rsidR="00A72BDE" w:rsidRPr="00A72BDE" w:rsidTr="00F37886">
        <w:trPr>
          <w:tblCellSpacing w:w="15" w:type="dxa"/>
        </w:trPr>
        <w:tc>
          <w:tcPr>
            <w:tcW w:w="4513" w:type="dxa"/>
            <w:shd w:val="clear" w:color="auto" w:fill="A3EEA3"/>
            <w:tcMar>
              <w:top w:w="96" w:type="dxa"/>
              <w:left w:w="75" w:type="dxa"/>
              <w:bottom w:w="96" w:type="dxa"/>
              <w:right w:w="75" w:type="dxa"/>
            </w:tcMar>
            <w:hideMark/>
          </w:tcPr>
          <w:p w:rsidR="00F37886" w:rsidRPr="00A72BDE" w:rsidRDefault="00F37886" w:rsidP="00AF5527">
            <w:pPr>
              <w:jc w:val="both"/>
            </w:pPr>
            <w:r w:rsidRPr="00A72BDE">
              <w:t>Административный центр</w:t>
            </w:r>
          </w:p>
        </w:tc>
        <w:tc>
          <w:tcPr>
            <w:tcW w:w="3782" w:type="dxa"/>
            <w:shd w:val="clear" w:color="auto" w:fill="F9F9F9"/>
            <w:hideMark/>
          </w:tcPr>
          <w:p w:rsidR="00F37886" w:rsidRPr="00A72BDE" w:rsidRDefault="00F37886" w:rsidP="00AF5527">
            <w:pPr>
              <w:jc w:val="both"/>
            </w:pPr>
            <w:r w:rsidRPr="00A72BDE">
              <w:t xml:space="preserve">город </w:t>
            </w:r>
            <w:hyperlink r:id="rId8" w:tooltip="Карасук (город)" w:history="1">
              <w:r w:rsidRPr="00A72BDE">
                <w:rPr>
                  <w:rStyle w:val="a8"/>
                  <w:color w:val="auto"/>
                </w:rPr>
                <w:t>Карасук</w:t>
              </w:r>
            </w:hyperlink>
          </w:p>
        </w:tc>
      </w:tr>
      <w:tr w:rsidR="00A72BDE" w:rsidRPr="00A72BDE" w:rsidTr="00F37886">
        <w:trPr>
          <w:tblCellSpacing w:w="15" w:type="dxa"/>
        </w:trPr>
        <w:tc>
          <w:tcPr>
            <w:tcW w:w="4513" w:type="dxa"/>
            <w:shd w:val="clear" w:color="auto" w:fill="A3EEA3"/>
            <w:tcMar>
              <w:top w:w="96" w:type="dxa"/>
              <w:left w:w="75" w:type="dxa"/>
              <w:bottom w:w="96" w:type="dxa"/>
              <w:right w:w="75" w:type="dxa"/>
            </w:tcMar>
            <w:hideMark/>
          </w:tcPr>
          <w:p w:rsidR="00F37886" w:rsidRPr="00A72BDE" w:rsidRDefault="00F37886" w:rsidP="00AF5527">
            <w:pPr>
              <w:jc w:val="both"/>
            </w:pPr>
            <w:r w:rsidRPr="00A72BDE">
              <w:t>Дата образования</w:t>
            </w:r>
          </w:p>
        </w:tc>
        <w:tc>
          <w:tcPr>
            <w:tcW w:w="3782" w:type="dxa"/>
            <w:shd w:val="clear" w:color="auto" w:fill="F9F9F9"/>
            <w:hideMark/>
          </w:tcPr>
          <w:p w:rsidR="00F37886" w:rsidRPr="00A72BDE" w:rsidRDefault="00E04212" w:rsidP="00AF5527">
            <w:pPr>
              <w:jc w:val="both"/>
            </w:pPr>
            <w:hyperlink r:id="rId9" w:tooltip="1925" w:history="1">
              <w:r w:rsidR="00F37886" w:rsidRPr="00A72BDE">
                <w:rPr>
                  <w:rStyle w:val="a8"/>
                  <w:color w:val="auto"/>
                </w:rPr>
                <w:t>1925</w:t>
              </w:r>
            </w:hyperlink>
          </w:p>
        </w:tc>
      </w:tr>
      <w:tr w:rsidR="00A72BDE" w:rsidRPr="00A72BDE" w:rsidTr="00F37886">
        <w:trPr>
          <w:tblCellSpacing w:w="15" w:type="dxa"/>
        </w:trPr>
        <w:tc>
          <w:tcPr>
            <w:tcW w:w="4513" w:type="dxa"/>
            <w:shd w:val="clear" w:color="auto" w:fill="A3EEA3"/>
            <w:tcMar>
              <w:top w:w="96" w:type="dxa"/>
              <w:left w:w="75" w:type="dxa"/>
              <w:bottom w:w="96" w:type="dxa"/>
              <w:right w:w="75" w:type="dxa"/>
            </w:tcMar>
            <w:hideMark/>
          </w:tcPr>
          <w:p w:rsidR="00F37886" w:rsidRPr="00A72BDE" w:rsidRDefault="00F37886" w:rsidP="00AF5527">
            <w:pPr>
              <w:jc w:val="both"/>
            </w:pPr>
            <w:r w:rsidRPr="00A72BDE">
              <w:t>Глава администрации района</w:t>
            </w:r>
          </w:p>
        </w:tc>
        <w:tc>
          <w:tcPr>
            <w:tcW w:w="3782" w:type="dxa"/>
            <w:shd w:val="clear" w:color="auto" w:fill="F9F9F9"/>
            <w:hideMark/>
          </w:tcPr>
          <w:p w:rsidR="00F37886" w:rsidRPr="00A72BDE" w:rsidRDefault="00F37886" w:rsidP="00AF5527">
            <w:pPr>
              <w:jc w:val="both"/>
            </w:pPr>
            <w:r w:rsidRPr="00A72BDE">
              <w:t>Гофман Александр Павлович</w:t>
            </w:r>
          </w:p>
        </w:tc>
      </w:tr>
    </w:tbl>
    <w:p w:rsidR="00F37886" w:rsidRPr="00A72BDE" w:rsidRDefault="00F37886" w:rsidP="00026D6C">
      <w:pPr>
        <w:jc w:val="both"/>
      </w:pPr>
    </w:p>
    <w:p w:rsidR="00026D6C" w:rsidRPr="00A72BDE" w:rsidRDefault="00026D6C" w:rsidP="00026D6C">
      <w:pPr>
        <w:jc w:val="both"/>
      </w:pPr>
      <w:r w:rsidRPr="00A72BDE">
        <w:t xml:space="preserve">Район расположен на юго-западе </w:t>
      </w:r>
      <w:hyperlink r:id="rId10" w:tooltip="Новосибирская область" w:history="1">
        <w:r w:rsidRPr="00A72BDE">
          <w:rPr>
            <w:rStyle w:val="a8"/>
            <w:color w:val="auto"/>
          </w:rPr>
          <w:t>Новосибирской области</w:t>
        </w:r>
      </w:hyperlink>
      <w:r w:rsidRPr="00A72BDE">
        <w:t xml:space="preserve">. Граничит с </w:t>
      </w:r>
      <w:hyperlink r:id="rId11" w:tooltip="Баганский район" w:history="1">
        <w:proofErr w:type="spellStart"/>
        <w:r w:rsidRPr="00A72BDE">
          <w:rPr>
            <w:rStyle w:val="a8"/>
            <w:color w:val="auto"/>
          </w:rPr>
          <w:t>Баганским</w:t>
        </w:r>
        <w:proofErr w:type="spellEnd"/>
      </w:hyperlink>
      <w:r w:rsidRPr="00A72BDE">
        <w:t xml:space="preserve">, </w:t>
      </w:r>
      <w:hyperlink r:id="rId12" w:tooltip="Здвинский район" w:history="1">
        <w:proofErr w:type="spellStart"/>
        <w:r w:rsidRPr="00A72BDE">
          <w:rPr>
            <w:rStyle w:val="a8"/>
            <w:color w:val="auto"/>
          </w:rPr>
          <w:t>Здвинским</w:t>
        </w:r>
        <w:proofErr w:type="spellEnd"/>
      </w:hyperlink>
      <w:r w:rsidRPr="00A72BDE">
        <w:t xml:space="preserve"> и </w:t>
      </w:r>
      <w:hyperlink r:id="rId13" w:tooltip="Краснозёрский район" w:history="1">
        <w:r w:rsidRPr="00A72BDE">
          <w:rPr>
            <w:rStyle w:val="a8"/>
            <w:color w:val="auto"/>
          </w:rPr>
          <w:t>Краснозёрским</w:t>
        </w:r>
      </w:hyperlink>
      <w:r w:rsidRPr="00A72BDE">
        <w:t xml:space="preserve"> районами, а также </w:t>
      </w:r>
      <w:hyperlink r:id="rId14" w:tooltip="Алтайский край" w:history="1">
        <w:r w:rsidRPr="00A72BDE">
          <w:rPr>
            <w:rStyle w:val="a8"/>
            <w:color w:val="auto"/>
          </w:rPr>
          <w:t>Алтайским краем</w:t>
        </w:r>
      </w:hyperlink>
      <w:r w:rsidRPr="00A72BDE">
        <w:t xml:space="preserve"> и </w:t>
      </w:r>
      <w:hyperlink r:id="rId15" w:tooltip="Казахстан" w:history="1">
        <w:r w:rsidRPr="00A72BDE">
          <w:rPr>
            <w:rStyle w:val="a8"/>
            <w:color w:val="auto"/>
          </w:rPr>
          <w:t>Казахстаном</w:t>
        </w:r>
      </w:hyperlink>
      <w:r w:rsidRPr="00A72BDE">
        <w:t xml:space="preserve">. Территория района по данным на 2008 год — 432,1 тыс. га, в том числе </w:t>
      </w:r>
      <w:proofErr w:type="spellStart"/>
      <w:r w:rsidRPr="00A72BDE">
        <w:t>сельхозугодья</w:t>
      </w:r>
      <w:proofErr w:type="spellEnd"/>
      <w:r w:rsidRPr="00A72BDE">
        <w:t> — 369,3 тыс. га (85,4 % всей площади).</w:t>
      </w:r>
    </w:p>
    <w:p w:rsidR="00026D6C" w:rsidRPr="00A72BDE" w:rsidRDefault="00026D6C" w:rsidP="00026D6C">
      <w:pPr>
        <w:jc w:val="both"/>
        <w:rPr>
          <w:b/>
          <w:bCs/>
        </w:rPr>
      </w:pPr>
      <w:r w:rsidRPr="00A72BDE">
        <w:rPr>
          <w:b/>
          <w:bCs/>
        </w:rPr>
        <w:t>Население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"/>
        <w:gridCol w:w="102"/>
        <w:gridCol w:w="910"/>
        <w:gridCol w:w="910"/>
        <w:gridCol w:w="910"/>
        <w:gridCol w:w="1509"/>
      </w:tblGrid>
      <w:tr w:rsidR="00026D6C" w:rsidRPr="00A72BDE" w:rsidTr="008A3997">
        <w:tc>
          <w:tcPr>
            <w:tcW w:w="4443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26D6C" w:rsidRPr="00A72BDE" w:rsidRDefault="00026D6C" w:rsidP="00026D6C">
            <w:pPr>
              <w:jc w:val="both"/>
              <w:rPr>
                <w:b/>
                <w:bCs/>
              </w:rPr>
            </w:pPr>
            <w:r w:rsidRPr="00A72BDE">
              <w:rPr>
                <w:b/>
                <w:bCs/>
              </w:rPr>
              <w:t>Численность населения</w:t>
            </w:r>
          </w:p>
        </w:tc>
      </w:tr>
      <w:tr w:rsidR="00026D6C" w:rsidRPr="00A72BDE" w:rsidTr="008A399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026D6C" w:rsidRPr="00A72BDE" w:rsidRDefault="00026D6C" w:rsidP="00026D6C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026D6C" w:rsidRPr="00A72BDE" w:rsidRDefault="00026D6C" w:rsidP="00026D6C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26D6C" w:rsidRPr="00A72BDE" w:rsidRDefault="00026D6C" w:rsidP="00F37886">
            <w:pPr>
              <w:jc w:val="both"/>
              <w:rPr>
                <w:b/>
                <w:bCs/>
              </w:rPr>
            </w:pPr>
            <w:r w:rsidRPr="00A72BDE">
              <w:rPr>
                <w:b/>
                <w:bCs/>
              </w:rPr>
              <w:t>2012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26D6C" w:rsidRPr="00A72BDE" w:rsidRDefault="00026D6C" w:rsidP="00F37886">
            <w:pPr>
              <w:jc w:val="both"/>
              <w:rPr>
                <w:b/>
                <w:bCs/>
              </w:rPr>
            </w:pPr>
            <w:r w:rsidRPr="00A72BDE">
              <w:rPr>
                <w:b/>
                <w:bCs/>
              </w:rPr>
              <w:t>2013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26D6C" w:rsidRPr="00A72BDE" w:rsidRDefault="00026D6C" w:rsidP="00F37886">
            <w:pPr>
              <w:jc w:val="both"/>
              <w:rPr>
                <w:b/>
                <w:bCs/>
              </w:rPr>
            </w:pPr>
            <w:r w:rsidRPr="00A72BDE">
              <w:rPr>
                <w:b/>
                <w:bCs/>
              </w:rPr>
              <w:t>2014</w:t>
            </w:r>
          </w:p>
        </w:tc>
        <w:tc>
          <w:tcPr>
            <w:tcW w:w="15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26D6C" w:rsidRPr="00A72BDE" w:rsidRDefault="00026D6C" w:rsidP="00F37886">
            <w:pPr>
              <w:jc w:val="both"/>
              <w:rPr>
                <w:b/>
                <w:bCs/>
              </w:rPr>
            </w:pPr>
            <w:r w:rsidRPr="00A72BDE">
              <w:rPr>
                <w:b/>
                <w:bCs/>
              </w:rPr>
              <w:t>2015</w:t>
            </w:r>
          </w:p>
        </w:tc>
      </w:tr>
      <w:tr w:rsidR="00026D6C" w:rsidRPr="00A72BDE" w:rsidTr="008A399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026D6C" w:rsidRPr="00A72BDE" w:rsidRDefault="00026D6C" w:rsidP="00026D6C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026D6C" w:rsidRPr="00A72BDE" w:rsidRDefault="00026D6C" w:rsidP="00026D6C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26D6C" w:rsidRPr="00A72BDE" w:rsidRDefault="00026D6C" w:rsidP="00026D6C">
            <w:pPr>
              <w:jc w:val="both"/>
            </w:pPr>
            <w:r w:rsidRPr="00A72BDE">
              <w:rPr>
                <w:rFonts w:ascii="Cambria Math" w:hAnsi="Cambria Math" w:cs="Cambria Math"/>
                <w:b/>
                <w:bCs/>
              </w:rPr>
              <w:t>↘</w:t>
            </w:r>
            <w:r w:rsidRPr="00A72BDE">
              <w:t>45 761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26D6C" w:rsidRPr="00A72BDE" w:rsidRDefault="00026D6C" w:rsidP="00026D6C">
            <w:pPr>
              <w:jc w:val="both"/>
            </w:pPr>
            <w:r w:rsidRPr="00A72BDE">
              <w:rPr>
                <w:rFonts w:ascii="Cambria Math" w:hAnsi="Cambria Math" w:cs="Cambria Math"/>
                <w:b/>
                <w:bCs/>
              </w:rPr>
              <w:t>↘</w:t>
            </w:r>
            <w:r w:rsidRPr="00A72BDE">
              <w:t>45 532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26D6C" w:rsidRPr="00A72BDE" w:rsidRDefault="00026D6C" w:rsidP="00026D6C">
            <w:pPr>
              <w:jc w:val="both"/>
            </w:pPr>
            <w:r w:rsidRPr="00A72BDE">
              <w:rPr>
                <w:rFonts w:ascii="Cambria Math" w:hAnsi="Cambria Math" w:cs="Cambria Math"/>
                <w:b/>
                <w:bCs/>
              </w:rPr>
              <w:t>↘</w:t>
            </w:r>
            <w:r w:rsidRPr="00A72BDE">
              <w:t>45 130</w:t>
            </w:r>
          </w:p>
        </w:tc>
        <w:tc>
          <w:tcPr>
            <w:tcW w:w="15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026D6C" w:rsidRPr="00A72BDE" w:rsidRDefault="00026D6C" w:rsidP="00026D6C">
            <w:pPr>
              <w:jc w:val="both"/>
            </w:pPr>
            <w:r w:rsidRPr="00A72BDE">
              <w:rPr>
                <w:rFonts w:ascii="Cambria Math" w:hAnsi="Cambria Math" w:cs="Cambria Math"/>
                <w:b/>
                <w:bCs/>
              </w:rPr>
              <w:t>↘</w:t>
            </w:r>
            <w:r w:rsidRPr="00A72BDE">
              <w:t>44 433</w:t>
            </w:r>
          </w:p>
        </w:tc>
      </w:tr>
    </w:tbl>
    <w:p w:rsidR="00026D6C" w:rsidRPr="00026D6C" w:rsidRDefault="00026D6C" w:rsidP="00026D6C">
      <w:pPr>
        <w:jc w:val="both"/>
      </w:pPr>
    </w:p>
    <w:p w:rsidR="00026D6C" w:rsidRPr="00A72BDE" w:rsidRDefault="00026D6C" w:rsidP="00026D6C">
      <w:pPr>
        <w:jc w:val="both"/>
        <w:rPr>
          <w:b/>
        </w:rPr>
      </w:pPr>
      <w:r w:rsidRPr="00A72BDE">
        <w:rPr>
          <w:b/>
        </w:rPr>
        <w:t>Урбанизация</w:t>
      </w:r>
    </w:p>
    <w:p w:rsidR="00026D6C" w:rsidRPr="00A72BDE" w:rsidRDefault="00026D6C" w:rsidP="00A72BDE">
      <w:pPr>
        <w:jc w:val="both"/>
      </w:pPr>
      <w:r w:rsidRPr="00A72BDE">
        <w:t xml:space="preserve">В городских условиях (город </w:t>
      </w:r>
      <w:hyperlink r:id="rId16" w:tooltip="Карасук (город)" w:history="1">
        <w:r w:rsidRPr="00A72BDE">
          <w:rPr>
            <w:rStyle w:val="a8"/>
            <w:color w:val="auto"/>
          </w:rPr>
          <w:t>Карасук</w:t>
        </w:r>
      </w:hyperlink>
      <w:r w:rsidRPr="00A72BDE">
        <w:t>) проживают 62,23 % населения района.</w:t>
      </w:r>
    </w:p>
    <w:p w:rsidR="00026D6C" w:rsidRPr="00A72BDE" w:rsidRDefault="00026D6C" w:rsidP="00A72BDE">
      <w:pPr>
        <w:jc w:val="both"/>
      </w:pPr>
      <w:r w:rsidRPr="00A72BDE">
        <w:t xml:space="preserve">В Карасукском районе 58 населённых пунктов в составе 1 </w:t>
      </w:r>
      <w:proofErr w:type="gramStart"/>
      <w:r w:rsidRPr="00A72BDE">
        <w:t>гор</w:t>
      </w:r>
      <w:r w:rsidR="00F37886" w:rsidRPr="00A72BDE">
        <w:t>одского</w:t>
      </w:r>
      <w:proofErr w:type="gramEnd"/>
      <w:r w:rsidR="00F37886" w:rsidRPr="00A72BDE">
        <w:t xml:space="preserve"> и 11 сельских поселений.</w:t>
      </w:r>
    </w:p>
    <w:p w:rsidR="00026D6C" w:rsidRPr="00A72BDE" w:rsidRDefault="00026D6C" w:rsidP="00A72BDE">
      <w:pPr>
        <w:jc w:val="both"/>
        <w:rPr>
          <w:b/>
          <w:bCs/>
        </w:rPr>
      </w:pPr>
      <w:r w:rsidRPr="00A72BDE">
        <w:rPr>
          <w:b/>
          <w:bCs/>
        </w:rPr>
        <w:t>Экономика</w:t>
      </w:r>
      <w:r w:rsidR="00F37886" w:rsidRPr="00A72BDE">
        <w:rPr>
          <w:b/>
          <w:bCs/>
        </w:rPr>
        <w:t>.</w:t>
      </w:r>
    </w:p>
    <w:p w:rsidR="00026D6C" w:rsidRPr="00A72BDE" w:rsidRDefault="00026D6C" w:rsidP="00A72BDE">
      <w:pPr>
        <w:jc w:val="both"/>
      </w:pPr>
      <w:r w:rsidRPr="00A72BDE">
        <w:t>Основу экономического потенциала района составляют 11 промышленных и 17 сельхозпредприятий. Наиболее крупными промышленными предприятиями являются: ЗАО «Карасукский мясокомбинат», ДЗАО «</w:t>
      </w:r>
      <w:proofErr w:type="spellStart"/>
      <w:r w:rsidRPr="00A72BDE">
        <w:t>Карасукское</w:t>
      </w:r>
      <w:proofErr w:type="spellEnd"/>
      <w:r w:rsidRPr="00A72BDE">
        <w:t xml:space="preserve"> молоко», ОАО «Карасукский комбинат хлебопродуктов», ООО «КАРС», ОАО «</w:t>
      </w:r>
      <w:proofErr w:type="spellStart"/>
      <w:r w:rsidRPr="00A72BDE">
        <w:t>Карасукское</w:t>
      </w:r>
      <w:proofErr w:type="spellEnd"/>
      <w:r w:rsidRPr="00A72BDE">
        <w:t xml:space="preserve"> РСП», МУП «Коммунальщик». Сельскохозяйственным производством занимаются 17 акционерных обществ, 59 фермерских хозяйств.</w:t>
      </w:r>
    </w:p>
    <w:p w:rsidR="00026D6C" w:rsidRPr="00A72BDE" w:rsidRDefault="00026D6C" w:rsidP="00A72BDE">
      <w:pPr>
        <w:jc w:val="both"/>
        <w:rPr>
          <w:b/>
          <w:bCs/>
        </w:rPr>
      </w:pPr>
      <w:r w:rsidRPr="00A72BDE">
        <w:rPr>
          <w:b/>
          <w:bCs/>
        </w:rPr>
        <w:t>Транспорт</w:t>
      </w:r>
      <w:r w:rsidR="00F37886" w:rsidRPr="00A72BDE">
        <w:rPr>
          <w:b/>
          <w:bCs/>
        </w:rPr>
        <w:t>.</w:t>
      </w:r>
    </w:p>
    <w:p w:rsidR="00026D6C" w:rsidRDefault="00026D6C" w:rsidP="00996967">
      <w:pPr>
        <w:jc w:val="both"/>
      </w:pPr>
      <w:r w:rsidRPr="00A72BDE">
        <w:t>По территории района проходят железнодорожные линии «</w:t>
      </w:r>
      <w:hyperlink r:id="rId17" w:tooltip="Татарск" w:history="1">
        <w:r w:rsidRPr="00A72BDE">
          <w:rPr>
            <w:rStyle w:val="a8"/>
            <w:color w:val="auto"/>
          </w:rPr>
          <w:t>Татарск</w:t>
        </w:r>
      </w:hyperlink>
      <w:r w:rsidRPr="00A72BDE">
        <w:t>—</w:t>
      </w:r>
      <w:hyperlink r:id="rId18" w:tooltip="Кулунда (станция)" w:history="1">
        <w:r w:rsidRPr="00A72BDE">
          <w:rPr>
            <w:rStyle w:val="a8"/>
            <w:color w:val="auto"/>
          </w:rPr>
          <w:t>Кулунда</w:t>
        </w:r>
      </w:hyperlink>
      <w:r w:rsidRPr="00A72BDE">
        <w:t>» и «</w:t>
      </w:r>
      <w:hyperlink r:id="rId19" w:tooltip="Камень-на-Оби" w:history="1">
        <w:r w:rsidRPr="00A72BDE">
          <w:rPr>
            <w:rStyle w:val="a8"/>
            <w:color w:val="auto"/>
          </w:rPr>
          <w:t>Камень-на-Оби</w:t>
        </w:r>
      </w:hyperlink>
      <w:r w:rsidRPr="00A72BDE">
        <w:t>—</w:t>
      </w:r>
      <w:hyperlink r:id="rId20" w:tooltip="Кокшетау" w:history="1">
        <w:r w:rsidRPr="00A72BDE">
          <w:rPr>
            <w:rStyle w:val="a8"/>
            <w:color w:val="auto"/>
          </w:rPr>
          <w:t>Кокшетау</w:t>
        </w:r>
      </w:hyperlink>
      <w:r w:rsidRPr="00A72BDE">
        <w:t xml:space="preserve">» </w:t>
      </w:r>
      <w:hyperlink r:id="rId21" w:tooltip="Западно-Сибирская железная дорога" w:history="1">
        <w:r w:rsidRPr="00A72BDE">
          <w:rPr>
            <w:rStyle w:val="a8"/>
            <w:color w:val="auto"/>
          </w:rPr>
          <w:t>Западно-Сибирской железной дороги</w:t>
        </w:r>
      </w:hyperlink>
      <w:r w:rsidRPr="00A72BDE">
        <w:t xml:space="preserve">. Протяжённость автомобильных дорог — 447,5 км, из них </w:t>
      </w:r>
      <w:r w:rsidR="00A72BDE">
        <w:t>с твёрдым покрытием — 338,6 км.</w:t>
      </w:r>
    </w:p>
    <w:p w:rsidR="008A3997" w:rsidRDefault="008A3997" w:rsidP="00844452"/>
    <w:p w:rsidR="00844452" w:rsidRPr="00844452" w:rsidRDefault="00F37886" w:rsidP="00844452">
      <w:r>
        <w:t xml:space="preserve">Контактная информация:  Новосибирская область, </w:t>
      </w:r>
      <w:r w:rsidR="00844452" w:rsidRPr="00844452">
        <w:t xml:space="preserve">Карасукский р-н, г. Карасук, </w:t>
      </w:r>
      <w:proofErr w:type="spellStart"/>
      <w:r w:rsidR="00844452" w:rsidRPr="00844452">
        <w:t>ул</w:t>
      </w:r>
      <w:proofErr w:type="gramStart"/>
      <w:r w:rsidR="00844452" w:rsidRPr="00844452">
        <w:t>.К</w:t>
      </w:r>
      <w:proofErr w:type="gramEnd"/>
      <w:r w:rsidR="00844452" w:rsidRPr="00844452">
        <w:t>омсомольская</w:t>
      </w:r>
      <w:proofErr w:type="spellEnd"/>
      <w:r w:rsidR="00844452" w:rsidRPr="00844452">
        <w:t xml:space="preserve">, 2 </w:t>
      </w:r>
      <w:r w:rsidR="00844452" w:rsidRPr="00844452">
        <w:br/>
        <w:t>Телефон: (383-55)33-500</w:t>
      </w:r>
    </w:p>
    <w:p w:rsidR="00844452" w:rsidRPr="00A72BDE" w:rsidRDefault="00844452" w:rsidP="00844452">
      <w:pPr>
        <w:jc w:val="both"/>
      </w:pPr>
      <w:r w:rsidRPr="00A72BDE">
        <w:lastRenderedPageBreak/>
        <w:t xml:space="preserve">Адрес </w:t>
      </w:r>
      <w:proofErr w:type="spellStart"/>
      <w:r w:rsidRPr="00A72BDE">
        <w:t>эл.почты</w:t>
      </w:r>
      <w:proofErr w:type="spellEnd"/>
      <w:r w:rsidRPr="00A72BDE">
        <w:t xml:space="preserve">: </w:t>
      </w:r>
      <w:hyperlink r:id="rId22" w:history="1">
        <w:r w:rsidRPr="00A72BDE">
          <w:rPr>
            <w:rStyle w:val="a8"/>
            <w:color w:val="auto"/>
          </w:rPr>
          <w:t>uokarasuk@mail.ru</w:t>
        </w:r>
      </w:hyperlink>
    </w:p>
    <w:p w:rsidR="009D715C" w:rsidRPr="00A72BDE" w:rsidRDefault="005C6249" w:rsidP="001C1AB2">
      <w:pPr>
        <w:jc w:val="both"/>
      </w:pPr>
      <w:r w:rsidRPr="00A72BDE">
        <w:t>Руководитель муниципального казенного учреждения «Управление образования Карасукского райо</w:t>
      </w:r>
      <w:r w:rsidR="00844452" w:rsidRPr="00A72BDE">
        <w:t xml:space="preserve">на» - </w:t>
      </w:r>
      <w:proofErr w:type="spellStart"/>
      <w:r w:rsidR="00844452" w:rsidRPr="00A72BDE">
        <w:t>Шитвин</w:t>
      </w:r>
      <w:proofErr w:type="spellEnd"/>
      <w:r w:rsidR="00844452" w:rsidRPr="00A72BDE">
        <w:t xml:space="preserve"> Сергей Викторович.</w:t>
      </w:r>
    </w:p>
    <w:p w:rsidR="001C1AB2" w:rsidRPr="00A72BDE" w:rsidRDefault="009D715C" w:rsidP="009D715C">
      <w:pPr>
        <w:rPr>
          <w:b/>
          <w:bCs/>
          <w:iCs/>
        </w:rPr>
      </w:pPr>
      <w:r w:rsidRPr="00A72BDE">
        <w:rPr>
          <w:bCs/>
          <w:iCs/>
        </w:rPr>
        <w:t xml:space="preserve">1.2. </w:t>
      </w:r>
      <w:r w:rsidRPr="00A72BDE">
        <w:rPr>
          <w:b/>
          <w:bCs/>
          <w:iCs/>
        </w:rPr>
        <w:t>Динамика основных показателей развития</w:t>
      </w:r>
      <w:r w:rsidR="00F37886" w:rsidRPr="00A72BDE">
        <w:rPr>
          <w:b/>
          <w:bCs/>
          <w:iCs/>
        </w:rPr>
        <w:t>.</w:t>
      </w:r>
    </w:p>
    <w:p w:rsidR="00F37886" w:rsidRPr="00A72BDE" w:rsidRDefault="00AF5527" w:rsidP="00AF5527">
      <w:pPr>
        <w:jc w:val="both"/>
        <w:rPr>
          <w:bCs/>
          <w:iCs/>
        </w:rPr>
      </w:pPr>
      <w:proofErr w:type="gramStart"/>
      <w:r w:rsidRPr="00A72BDE">
        <w:rPr>
          <w:bCs/>
          <w:iCs/>
        </w:rPr>
        <w:t>Деятельность образовательных учреждений Карасукского района в 2014 году была  направлена на реализацию Закона об образовании в РФ, Закона о регулировании отношений в сфере образования на территории Новосибирской области,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2015-2020 годы», Плана действий на 2015 год, Плана мероприятий («дорожная карта») по реализации задач</w:t>
      </w:r>
      <w:proofErr w:type="gramEnd"/>
      <w:r w:rsidRPr="00A72BDE">
        <w:rPr>
          <w:bCs/>
          <w:iCs/>
        </w:rPr>
        <w:t xml:space="preserve"> </w:t>
      </w:r>
      <w:proofErr w:type="gramStart"/>
      <w:r w:rsidRPr="00A72BDE">
        <w:rPr>
          <w:bCs/>
          <w:iCs/>
        </w:rPr>
        <w:t xml:space="preserve">в сфере образования, науки и инновационной деятельности, поставленных Губернатором Новосибирской области </w:t>
      </w:r>
      <w:proofErr w:type="spellStart"/>
      <w:r w:rsidRPr="00A72BDE">
        <w:rPr>
          <w:bCs/>
          <w:iCs/>
        </w:rPr>
        <w:t>В.Ф.Городецким</w:t>
      </w:r>
      <w:proofErr w:type="spellEnd"/>
      <w:r w:rsidRPr="00A72BDE">
        <w:rPr>
          <w:bCs/>
          <w:iCs/>
        </w:rPr>
        <w:t xml:space="preserve"> на собрании общественности 23.12.2014 «О приоритетах социально-экономического развития Новосибирской области до 2020 года».</w:t>
      </w:r>
      <w:proofErr w:type="gramEnd"/>
      <w:r w:rsidRPr="00A72BDE">
        <w:rPr>
          <w:bCs/>
          <w:iCs/>
        </w:rPr>
        <w:t xml:space="preserve"> Сегодня главной целью является эффективное развитие образования, обеспечение доступности качественного образования, отвечающего требованиям современного инновационного социально ориентированного развития района, региона, страны в целом.</w:t>
      </w:r>
    </w:p>
    <w:p w:rsidR="00AF5527" w:rsidRPr="00A72BDE" w:rsidRDefault="00AF5527" w:rsidP="00AF5527">
      <w:pPr>
        <w:jc w:val="both"/>
        <w:rPr>
          <w:b/>
        </w:rPr>
      </w:pPr>
      <w:r w:rsidRPr="00A72BDE">
        <w:rPr>
          <w:b/>
        </w:rPr>
        <w:t xml:space="preserve">Перечень федеральных, областных, муниципальных целевых программ, в которых участвовал Карасукский район в 2014 году 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4"/>
      </w:tblGrid>
      <w:tr w:rsidR="00AF5527" w:rsidRPr="00A72BDE" w:rsidTr="00AF5527">
        <w:trPr>
          <w:trHeight w:val="542"/>
        </w:trPr>
        <w:tc>
          <w:tcPr>
            <w:tcW w:w="9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7" w:rsidRPr="00A72BDE" w:rsidRDefault="00AF5527" w:rsidP="00AF5527">
            <w:pPr>
              <w:jc w:val="center"/>
            </w:pPr>
            <w:r w:rsidRPr="00A72BDE">
              <w:t>Наименование программы</w:t>
            </w:r>
          </w:p>
        </w:tc>
      </w:tr>
      <w:tr w:rsidR="00AF5527" w:rsidRPr="00A72BDE" w:rsidTr="00AF5527">
        <w:trPr>
          <w:trHeight w:val="276"/>
        </w:trPr>
        <w:tc>
          <w:tcPr>
            <w:tcW w:w="9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527" w:rsidRPr="00A72BDE" w:rsidRDefault="00AF5527" w:rsidP="00AF5527">
            <w:pPr>
              <w:jc w:val="both"/>
            </w:pPr>
          </w:p>
        </w:tc>
      </w:tr>
      <w:tr w:rsidR="00AF5527" w:rsidRPr="00A72BDE" w:rsidTr="00AF5527">
        <w:trPr>
          <w:trHeight w:val="585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7" w:rsidRPr="00A72BDE" w:rsidRDefault="00AF5527" w:rsidP="00AF5527">
            <w:pPr>
              <w:jc w:val="both"/>
            </w:pPr>
            <w:r w:rsidRPr="00A72BDE">
              <w:t xml:space="preserve">ВЦП «Развитие образования детей с ограниченными возможностями здоровья и детей-инвалидов  Новосибирской области на 2013-2015 годы» </w:t>
            </w:r>
          </w:p>
        </w:tc>
      </w:tr>
      <w:tr w:rsidR="00AF5527" w:rsidRPr="00A72BDE" w:rsidTr="00AF5527">
        <w:trPr>
          <w:trHeight w:val="558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7" w:rsidRPr="00A72BDE" w:rsidRDefault="00AF5527" w:rsidP="00AF5527">
            <w:pPr>
              <w:jc w:val="both"/>
            </w:pPr>
            <w:r w:rsidRPr="00A72BDE">
              <w:t xml:space="preserve">ВЦП «Ресурсное обеспечение модернизации образования Новосибирской области на 2012-2014 годы» </w:t>
            </w:r>
          </w:p>
        </w:tc>
      </w:tr>
      <w:tr w:rsidR="00AF5527" w:rsidRPr="00A72BDE" w:rsidTr="00AF5527">
        <w:trPr>
          <w:trHeight w:val="544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7" w:rsidRPr="00A72BDE" w:rsidRDefault="00AF5527" w:rsidP="00AF5527">
            <w:pPr>
              <w:jc w:val="both"/>
            </w:pPr>
            <w:r w:rsidRPr="00A72BDE">
              <w:t>ВЦП «Безопасность образовательных учреждений Новосибирской области на 2013-2015 годы»</w:t>
            </w:r>
          </w:p>
        </w:tc>
      </w:tr>
      <w:tr w:rsidR="00AF5527" w:rsidRPr="00A72BDE" w:rsidTr="00AF5527">
        <w:trPr>
          <w:trHeight w:val="272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7" w:rsidRPr="00A72BDE" w:rsidRDefault="00AF5527" w:rsidP="00AF5527">
            <w:pPr>
              <w:jc w:val="both"/>
            </w:pPr>
            <w:r w:rsidRPr="00A72BDE">
              <w:t>ВЦП «Развитие инновационной системы Новосибирской области на 2013-2015 годы»</w:t>
            </w:r>
          </w:p>
        </w:tc>
      </w:tr>
      <w:tr w:rsidR="00AF5527" w:rsidRPr="00A72BDE" w:rsidTr="00AF5527">
        <w:trPr>
          <w:trHeight w:val="568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7" w:rsidRPr="00A72BDE" w:rsidRDefault="00AF5527" w:rsidP="00AF5527">
            <w:pPr>
              <w:jc w:val="both"/>
            </w:pPr>
            <w:r w:rsidRPr="00A72BDE">
              <w:t>ВЦП «Развитие кадрового потенциала системы образования Новосибирской области на 2013-2015 годы»</w:t>
            </w:r>
          </w:p>
        </w:tc>
      </w:tr>
      <w:tr w:rsidR="00AF5527" w:rsidRPr="00A72BDE" w:rsidTr="00AF5527">
        <w:trPr>
          <w:trHeight w:val="544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7" w:rsidRPr="00A72BDE" w:rsidRDefault="00AF5527" w:rsidP="00AF5527">
            <w:pPr>
              <w:jc w:val="both"/>
            </w:pPr>
            <w:r w:rsidRPr="00A72BDE">
              <w:t>ГП «Допризывная подготовка граждан Российской Федерации в Новосибирской области на 2012-2016 годы»</w:t>
            </w:r>
          </w:p>
        </w:tc>
      </w:tr>
      <w:tr w:rsidR="00AF5527" w:rsidRPr="00A72BDE" w:rsidTr="00AF5527">
        <w:trPr>
          <w:trHeight w:val="544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7" w:rsidRPr="00A72BDE" w:rsidRDefault="00AF5527" w:rsidP="00AF5527">
            <w:pPr>
              <w:jc w:val="both"/>
            </w:pPr>
            <w:r w:rsidRPr="00A72BDE">
              <w:t>ОЦП «Комплексные меры профилактики наркомании в Новосибирской области на 2012-2016 годы»</w:t>
            </w:r>
          </w:p>
        </w:tc>
      </w:tr>
      <w:tr w:rsidR="00AF5527" w:rsidRPr="00A72BDE" w:rsidTr="00AF5527">
        <w:trPr>
          <w:trHeight w:val="831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7" w:rsidRPr="00A72BDE" w:rsidRDefault="00AF5527" w:rsidP="00AF5527">
            <w:pPr>
              <w:jc w:val="both"/>
            </w:pPr>
            <w:r w:rsidRPr="00A72BDE">
              <w:t>ГП «Развитие сети образовательных учреждений реализующих основную общеобразовательную программу дошкольного образования на территории Новосибирской области на 2011-2015 годы»</w:t>
            </w:r>
          </w:p>
        </w:tc>
      </w:tr>
      <w:tr w:rsidR="00AF5527" w:rsidRPr="00A72BDE" w:rsidTr="00AF5527">
        <w:trPr>
          <w:trHeight w:val="558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7" w:rsidRPr="00A72BDE" w:rsidRDefault="00AF5527" w:rsidP="00AF5527">
            <w:pPr>
              <w:jc w:val="both"/>
            </w:pPr>
            <w:r w:rsidRPr="00A72BDE">
              <w:t>ГП «Выявление и поддержка одаренных детей и талантливой молодежи в Новосибирской области на 2013-2017 годы»</w:t>
            </w:r>
          </w:p>
        </w:tc>
      </w:tr>
      <w:tr w:rsidR="00AF5527" w:rsidRPr="00A72BDE" w:rsidTr="00AF5527">
        <w:trPr>
          <w:trHeight w:val="544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7" w:rsidRPr="00A72BDE" w:rsidRDefault="00AF5527" w:rsidP="00AF5527">
            <w:pPr>
              <w:jc w:val="both"/>
            </w:pPr>
            <w:r w:rsidRPr="00A72BDE">
              <w:t xml:space="preserve">ГП «Патриотическое воспитание граждан Российской Федерации  в Новосибирской области на 2011-2016 годы» </w:t>
            </w:r>
          </w:p>
        </w:tc>
      </w:tr>
      <w:tr w:rsidR="00AF5527" w:rsidRPr="00A72BDE" w:rsidTr="00AF5527">
        <w:trPr>
          <w:trHeight w:val="558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7" w:rsidRPr="00A72BDE" w:rsidRDefault="00AF5527" w:rsidP="00AF5527">
            <w:pPr>
              <w:jc w:val="both"/>
            </w:pPr>
            <w:r w:rsidRPr="00A72BDE">
              <w:t>ГП «Совершенствование организации школьного питания в Новосибирской области на  2012-2016 годы»</w:t>
            </w:r>
          </w:p>
        </w:tc>
      </w:tr>
      <w:tr w:rsidR="00AF5527" w:rsidRPr="00A72BDE" w:rsidTr="00AF5527">
        <w:trPr>
          <w:trHeight w:val="289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7" w:rsidRPr="00A72BDE" w:rsidRDefault="00AF5527" w:rsidP="00AF5527">
            <w:pPr>
              <w:jc w:val="both"/>
            </w:pPr>
            <w:r w:rsidRPr="00A72BDE">
              <w:t xml:space="preserve">Комплекс мер модернизации общего образования </w:t>
            </w:r>
          </w:p>
        </w:tc>
      </w:tr>
    </w:tbl>
    <w:p w:rsidR="00506D32" w:rsidRPr="00A72BDE" w:rsidRDefault="004F5D71" w:rsidP="001C1AB2">
      <w:pPr>
        <w:rPr>
          <w:b/>
          <w:bCs/>
          <w:iCs/>
        </w:rPr>
      </w:pPr>
      <w:r w:rsidRPr="00A72BDE">
        <w:rPr>
          <w:b/>
        </w:rPr>
        <w:t>2.Анализ состояния и перспектив развития системы образования.</w:t>
      </w:r>
      <w:r w:rsidR="001C1AB2" w:rsidRPr="00A72BDE">
        <w:t xml:space="preserve">  </w:t>
      </w:r>
    </w:p>
    <w:p w:rsidR="00AF5527" w:rsidRPr="00A72BDE" w:rsidRDefault="00995B9A" w:rsidP="00AF5527">
      <w:pPr>
        <w:rPr>
          <w:b/>
          <w:bCs/>
          <w:iCs/>
        </w:rPr>
      </w:pPr>
      <w:r w:rsidRPr="00A72BDE">
        <w:t xml:space="preserve"> </w:t>
      </w:r>
      <w:r w:rsidR="00C4512A" w:rsidRPr="00A72BDE">
        <w:rPr>
          <w:b/>
        </w:rPr>
        <w:t>Дошкольное образование.</w:t>
      </w:r>
    </w:p>
    <w:p w:rsidR="00AF5527" w:rsidRPr="00A72BDE" w:rsidRDefault="00AF5527" w:rsidP="001B52FC">
      <w:pPr>
        <w:jc w:val="both"/>
        <w:rPr>
          <w:bCs/>
          <w:iCs/>
        </w:rPr>
      </w:pPr>
      <w:r w:rsidRPr="00A72BDE">
        <w:rPr>
          <w:bCs/>
          <w:iCs/>
        </w:rPr>
        <w:t xml:space="preserve">В целях обеспечения детей услугами дошкольного образования в </w:t>
      </w:r>
      <w:r w:rsidR="001B52FC" w:rsidRPr="00A72BDE">
        <w:rPr>
          <w:bCs/>
          <w:iCs/>
        </w:rPr>
        <w:t>Карасукском районе функционировали</w:t>
      </w:r>
      <w:r w:rsidRPr="00A72BDE">
        <w:rPr>
          <w:bCs/>
          <w:iCs/>
        </w:rPr>
        <w:t xml:space="preserve"> 24 муниципальных дошкольных образовательных учреждения, 5 дошкольных групп при школах, 1 негосударственный детский сад. Эти учреждения  посещают 2640 детей в возрасте от полутора до 7 лет. При общем количестве детей по району  от рождения до 7 лет – 4136 охват услугами составляет 78%.</w:t>
      </w:r>
    </w:p>
    <w:p w:rsidR="00AF5527" w:rsidRPr="00A72BDE" w:rsidRDefault="00AF5527" w:rsidP="001B52FC">
      <w:pPr>
        <w:jc w:val="both"/>
        <w:rPr>
          <w:bCs/>
          <w:iCs/>
        </w:rPr>
      </w:pPr>
      <w:r w:rsidRPr="00A72BDE">
        <w:rPr>
          <w:bCs/>
          <w:iCs/>
        </w:rPr>
        <w:t>В дошкольных обра</w:t>
      </w:r>
      <w:r w:rsidR="001B52FC" w:rsidRPr="00A72BDE">
        <w:rPr>
          <w:bCs/>
          <w:iCs/>
        </w:rPr>
        <w:t>зовательных учреждениях работали</w:t>
      </w:r>
      <w:r w:rsidRPr="00A72BDE">
        <w:rPr>
          <w:bCs/>
          <w:iCs/>
        </w:rPr>
        <w:t xml:space="preserve"> 278 педагогов из них с </w:t>
      </w:r>
      <w:proofErr w:type="gramStart"/>
      <w:r w:rsidRPr="00A72BDE">
        <w:rPr>
          <w:bCs/>
          <w:iCs/>
        </w:rPr>
        <w:t>высшим</w:t>
      </w:r>
      <w:proofErr w:type="gramEnd"/>
      <w:r w:rsidRPr="00A72BDE">
        <w:rPr>
          <w:bCs/>
          <w:iCs/>
        </w:rPr>
        <w:t xml:space="preserve"> образованием-117 (42%), с средне профессиональным- 162 (58%), высшую </w:t>
      </w:r>
      <w:r w:rsidRPr="00A72BDE">
        <w:rPr>
          <w:bCs/>
          <w:iCs/>
        </w:rPr>
        <w:lastRenderedPageBreak/>
        <w:t>квалификационную категорию имеет 10 педагогов (4%), первую – 106 (38%), соответствие занимаемой должности прошли 162 воспитателя (58%).</w:t>
      </w:r>
    </w:p>
    <w:p w:rsidR="00AF5527" w:rsidRPr="00A72BDE" w:rsidRDefault="001B52FC" w:rsidP="001B52FC">
      <w:pPr>
        <w:jc w:val="both"/>
        <w:rPr>
          <w:bCs/>
          <w:iCs/>
        </w:rPr>
      </w:pPr>
      <w:r w:rsidRPr="00A72BDE">
        <w:rPr>
          <w:bCs/>
          <w:iCs/>
        </w:rPr>
        <w:t xml:space="preserve">   </w:t>
      </w:r>
      <w:r w:rsidR="00AF5527" w:rsidRPr="00A72BDE">
        <w:rPr>
          <w:bCs/>
          <w:iCs/>
        </w:rPr>
        <w:t xml:space="preserve">В </w:t>
      </w:r>
      <w:r w:rsidRPr="00A72BDE">
        <w:rPr>
          <w:bCs/>
          <w:iCs/>
        </w:rPr>
        <w:t>апреле 2014 года</w:t>
      </w:r>
      <w:r w:rsidR="00AF5527" w:rsidRPr="00A72BDE">
        <w:rPr>
          <w:bCs/>
          <w:iCs/>
        </w:rPr>
        <w:t xml:space="preserve">  были определены два  детских сада,  которые начали работать в «пилотном режи</w:t>
      </w:r>
      <w:r w:rsidRPr="00A72BDE">
        <w:rPr>
          <w:bCs/>
          <w:iCs/>
        </w:rPr>
        <w:t xml:space="preserve">ме» в связи введением ФГОС </w:t>
      </w:r>
      <w:proofErr w:type="gramStart"/>
      <w:r w:rsidRPr="00A72BDE">
        <w:rPr>
          <w:bCs/>
          <w:iCs/>
        </w:rPr>
        <w:t>ДО</w:t>
      </w:r>
      <w:proofErr w:type="gramEnd"/>
      <w:r w:rsidRPr="00A72BDE">
        <w:rPr>
          <w:bCs/>
          <w:iCs/>
        </w:rPr>
        <w:t>:</w:t>
      </w:r>
      <w:r w:rsidR="00AF5527" w:rsidRPr="00A72BDE">
        <w:rPr>
          <w:bCs/>
          <w:iCs/>
        </w:rPr>
        <w:t xml:space="preserve"> МБДОУ д/с №1 «Родничок» и МБДОУ д/с №8 «Сказка». Заведующие и педагоги «пилотных» детских садов одни из первых  начали разрабатывать и  апробировать новые подходы в дошкольном образовании, принимали активное участие в окружных методических </w:t>
      </w:r>
      <w:r w:rsidRPr="00A72BDE">
        <w:rPr>
          <w:bCs/>
          <w:iCs/>
        </w:rPr>
        <w:t>объединениях</w:t>
      </w:r>
      <w:r w:rsidR="00AF5527" w:rsidRPr="00A72BDE">
        <w:rPr>
          <w:bCs/>
          <w:iCs/>
        </w:rPr>
        <w:t xml:space="preserve"> по проблемам введения ФГОС </w:t>
      </w:r>
      <w:proofErr w:type="gramStart"/>
      <w:r w:rsidR="00AF5527" w:rsidRPr="00A72BDE">
        <w:rPr>
          <w:bCs/>
          <w:iCs/>
        </w:rPr>
        <w:t>ДО</w:t>
      </w:r>
      <w:proofErr w:type="gramEnd"/>
      <w:r w:rsidR="00AF5527" w:rsidRPr="00A72BDE">
        <w:rPr>
          <w:bCs/>
          <w:iCs/>
        </w:rPr>
        <w:t xml:space="preserve">. Полученными и наработанными знаниями делились на районных семинарах, совещаниях, мастер-классах.  В настоящее время все ДОУ Карасукского  района перешли на  программы дошкольного образования в соответствии с федеральным государственным образовательным  стандартом.  </w:t>
      </w:r>
    </w:p>
    <w:p w:rsidR="00C4512A" w:rsidRPr="00A72BDE" w:rsidRDefault="001B52FC" w:rsidP="00F35707">
      <w:pPr>
        <w:jc w:val="both"/>
        <w:rPr>
          <w:bCs/>
          <w:iCs/>
        </w:rPr>
      </w:pPr>
      <w:r w:rsidRPr="00A72BDE">
        <w:rPr>
          <w:bCs/>
          <w:iCs/>
        </w:rPr>
        <w:t xml:space="preserve">Для руководителей ДОУ проводились совещания, по вопросам введения ФГОС </w:t>
      </w:r>
      <w:proofErr w:type="gramStart"/>
      <w:r w:rsidRPr="00A72BDE">
        <w:rPr>
          <w:bCs/>
          <w:iCs/>
        </w:rPr>
        <w:t>ДО</w:t>
      </w:r>
      <w:proofErr w:type="gramEnd"/>
      <w:r w:rsidRPr="00A72BDE">
        <w:rPr>
          <w:bCs/>
          <w:iCs/>
        </w:rPr>
        <w:t>. Для воспитателей района проводились круглые столы, семинары, мастер-классы  по темам</w:t>
      </w:r>
      <w:proofErr w:type="gramStart"/>
      <w:r w:rsidRPr="00A72BDE">
        <w:rPr>
          <w:bCs/>
          <w:iCs/>
        </w:rPr>
        <w:t xml:space="preserve"> :</w:t>
      </w:r>
      <w:proofErr w:type="gramEnd"/>
      <w:r w:rsidRPr="00A72BDE">
        <w:rPr>
          <w:bCs/>
          <w:iCs/>
        </w:rPr>
        <w:t xml:space="preserve"> «Актуальные вопросы введения ФГОС ДО», «Планирование образовательной деятельности в соответствии с ФГОС  дошкольного образования», «Игровая деятельность в условиях введения ФГОС ДО», «Художественно-эстетическое развитие дошкольников в условиях введения ФГОС ДО», «Театрализованная деятельность в ДОУ</w:t>
      </w:r>
      <w:r w:rsidRPr="001B52FC">
        <w:rPr>
          <w:bCs/>
          <w:iCs/>
        </w:rPr>
        <w:t xml:space="preserve">», «Организация </w:t>
      </w:r>
      <w:r w:rsidRPr="00A72BDE">
        <w:rPr>
          <w:bCs/>
          <w:iCs/>
        </w:rPr>
        <w:t xml:space="preserve">работы ДОУ в летний период с учетом ФГОС </w:t>
      </w:r>
      <w:proofErr w:type="gramStart"/>
      <w:r w:rsidRPr="00A72BDE">
        <w:rPr>
          <w:bCs/>
          <w:iCs/>
        </w:rPr>
        <w:t>ДО</w:t>
      </w:r>
      <w:proofErr w:type="gramEnd"/>
      <w:r w:rsidRPr="00A72BDE">
        <w:rPr>
          <w:bCs/>
          <w:iCs/>
        </w:rPr>
        <w:t xml:space="preserve">». </w:t>
      </w:r>
    </w:p>
    <w:p w:rsidR="00895805" w:rsidRPr="00A72BDE" w:rsidRDefault="00216195" w:rsidP="00FB37B3">
      <w:pPr>
        <w:jc w:val="both"/>
        <w:rPr>
          <w:b/>
        </w:rPr>
      </w:pPr>
      <w:r w:rsidRPr="00A72BDE">
        <w:rPr>
          <w:b/>
        </w:rPr>
        <w:t>Общее образование.</w:t>
      </w:r>
    </w:p>
    <w:p w:rsidR="00A41BB6" w:rsidRPr="00A72BDE" w:rsidRDefault="00A72BDE" w:rsidP="00FB37B3">
      <w:pPr>
        <w:jc w:val="both"/>
      </w:pPr>
      <w:r w:rsidRPr="00A72BDE">
        <w:t xml:space="preserve">В 2014 году функционировало 18 средних школ, в которых обучалось 3394 учащихся,  технический лицей -860 учащихся,  гимназия - 729 учащихся, 11 основных школ - 652 обучающихся, 1 начальная школа - 9 учащихся. Итого 5644, что на  53 учащихся больше, чем в прошлом учебном году. </w:t>
      </w:r>
    </w:p>
    <w:p w:rsidR="00A72BDE" w:rsidRPr="00A72BDE" w:rsidRDefault="00A72BDE" w:rsidP="00FB37B3">
      <w:pPr>
        <w:jc w:val="both"/>
      </w:pPr>
      <w:r w:rsidRPr="00A72BDE">
        <w:t xml:space="preserve">    По сравнению с прошлым годом количество обучающихся в сельской местности сократилось с 2070 до 2047 учащихся, в городе увеличилось с 3521 до 3597 учащихся. От общей численности учащихся 36,3% обучается в сельской местности, 63,7% обучается в городе Карасуке. Эта традиционно сложившаяся диспропорция является и источником проблемы, связанной с уровнем качества образования и эффективностью деятельности образовательных учреждений.</w:t>
      </w:r>
    </w:p>
    <w:p w:rsidR="00A72BDE" w:rsidRPr="00A72BDE" w:rsidRDefault="00A72BDE" w:rsidP="00FB37B3">
      <w:pPr>
        <w:jc w:val="both"/>
      </w:pPr>
      <w:r w:rsidRPr="00A72BDE">
        <w:t>В 2015 году в сдаче единого государственного экзамена принимали участие 335 выпускников текущего года. Были организованы два пункта проведения экзаменов: на базе МБОУ гимназии № 1 и МБОУ СОШ №2.</w:t>
      </w:r>
    </w:p>
    <w:p w:rsidR="00A72BDE" w:rsidRPr="00A72BDE" w:rsidRDefault="00A72BDE" w:rsidP="00A72BDE">
      <w:pPr>
        <w:jc w:val="both"/>
      </w:pPr>
      <w:r w:rsidRPr="00A72BDE">
        <w:t xml:space="preserve">    По русскому языку средний балл по району составил 58, 0 баллов.     Сдача математики в этом году проходила на двух уровнях: базовом и профильном. Математику базовую сдавали 285 человек. Оценивалась математика базовая в 5-бальной системе. Общая успеваемость по району составила 93,58 %, качественная успеваемость – 52,03 %.</w:t>
      </w:r>
    </w:p>
    <w:p w:rsidR="00A72BDE" w:rsidRPr="00A72BDE" w:rsidRDefault="00A72BDE" w:rsidP="00A72BDE">
      <w:pPr>
        <w:jc w:val="both"/>
      </w:pPr>
      <w:r w:rsidRPr="00A72BDE">
        <w:t>Профильную математику сдавали 211 человек. Минимальный балл - 27. Количество выпускников, не набравших минимальный балл – 86 человек (40,7%). Средний балл по району составил 37,32 баллов.</w:t>
      </w:r>
    </w:p>
    <w:p w:rsidR="00A72BDE" w:rsidRPr="007F5C9F" w:rsidRDefault="007F5C9F" w:rsidP="00FB37B3">
      <w:pPr>
        <w:jc w:val="both"/>
      </w:pPr>
      <w:r w:rsidRPr="007F5C9F">
        <w:t xml:space="preserve">    В 2014  году индивидуальной формой обучения на дому было охвачено 34 ребёнка, из них 19 дети – инвалиды, дети с ОВЗ – 2 . По адаптированным программам обучалось 19 детей. Наряду с индивидуальной формой обучения детей – инвалидов используется и  дистанционная форма обучения таких детей.</w:t>
      </w:r>
    </w:p>
    <w:p w:rsidR="007F5C9F" w:rsidRPr="007F5C9F" w:rsidRDefault="007F5C9F" w:rsidP="00FB37B3">
      <w:pPr>
        <w:jc w:val="both"/>
      </w:pPr>
      <w:r w:rsidRPr="007F5C9F">
        <w:t xml:space="preserve">     Одним из важных направлений деятельности по развитию одаренности является развитие мотивации учителей и детей на достижение высоких результатов в олимпиадах. Увеличивается количество участников и победителей Всероссийской олимпиады школьников. В рамках муниципальной программы «Выявление и поддержка одаренных детей и талантливой учащейся молодежи в Карасукском районе Новосибирской области на 2013-2017 годы» ежегодно проводится конкурс исследовательских работ и творческих проектов учащихся. Более 137 учащихся из 17 общеобразовательных учреждений района представляли свои исследовательские работы по физике, математике, русскому языку, краеведению, обществознанию, естествознанию, филологии, иностранному языку, истории, технологии,   </w:t>
      </w:r>
      <w:proofErr w:type="spellStart"/>
      <w:r w:rsidRPr="007F5C9F">
        <w:t>здоровьесбережению</w:t>
      </w:r>
      <w:proofErr w:type="spellEnd"/>
      <w:r w:rsidRPr="007F5C9F">
        <w:t xml:space="preserve">.    Карасукский район является ресурсным </w:t>
      </w:r>
      <w:r w:rsidRPr="007F5C9F">
        <w:lastRenderedPageBreak/>
        <w:t>центром для инновационного проекта развития образования школьников в сельских районах Новосибирской области «Инженерная компетентность – сила развития Родины».</w:t>
      </w:r>
    </w:p>
    <w:p w:rsidR="007F5C9F" w:rsidRPr="00746CF6" w:rsidRDefault="00E92738" w:rsidP="00E92738">
      <w:pPr>
        <w:jc w:val="both"/>
        <w:rPr>
          <w:b/>
        </w:rPr>
      </w:pPr>
      <w:r w:rsidRPr="00746CF6">
        <w:rPr>
          <w:b/>
        </w:rPr>
        <w:t>Кадры.</w:t>
      </w:r>
    </w:p>
    <w:p w:rsidR="007F5C9F" w:rsidRPr="00784558" w:rsidRDefault="007F5C9F" w:rsidP="007F5C9F">
      <w:pPr>
        <w:jc w:val="both"/>
      </w:pPr>
      <w:r w:rsidRPr="007F5C9F">
        <w:t xml:space="preserve">  За 2014 год общее количество педагогических работников образовательных учреждений района составило 975 человек (дошкольных -320, общеобразовательных-633, организаций дополнительного образования детей-22 человек). Высшую и первую квалификационную категорию имеют 107 </w:t>
      </w:r>
      <w:proofErr w:type="spellStart"/>
      <w:r w:rsidRPr="007F5C9F">
        <w:t>педработников</w:t>
      </w:r>
      <w:proofErr w:type="spellEnd"/>
      <w:r w:rsidRPr="007F5C9F">
        <w:t xml:space="preserve"> дошкольных образовательных учреждений, 317 </w:t>
      </w:r>
      <w:proofErr w:type="spellStart"/>
      <w:r w:rsidRPr="007F5C9F">
        <w:t>педработников</w:t>
      </w:r>
      <w:proofErr w:type="spellEnd"/>
      <w:r w:rsidRPr="007F5C9F">
        <w:t xml:space="preserve"> общеобразовательных учреждений и 8 </w:t>
      </w:r>
      <w:proofErr w:type="spellStart"/>
      <w:r w:rsidRPr="007F5C9F">
        <w:t>педработников</w:t>
      </w:r>
      <w:proofErr w:type="spellEnd"/>
      <w:r w:rsidRPr="007F5C9F">
        <w:t xml:space="preserve"> учреждений дополнительного образования детей.</w:t>
      </w:r>
      <w:r w:rsidRPr="007F5C9F">
        <w:rPr>
          <w:noProof/>
        </w:rPr>
        <w:drawing>
          <wp:inline distT="0" distB="0" distL="0" distR="0" wp14:anchorId="0F44299F" wp14:editId="44FD7E85">
            <wp:extent cx="3568700" cy="198900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141" cy="199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5C9F">
        <w:t xml:space="preserve">Средний возраст учителя – 46 </w:t>
      </w:r>
      <w:r w:rsidRPr="00784558">
        <w:t>лет.  Ежегодно увеличивается количество пенсионеров, привлеченных к работе.</w:t>
      </w:r>
    </w:p>
    <w:p w:rsidR="007F5C9F" w:rsidRPr="00784558" w:rsidRDefault="007F5C9F" w:rsidP="00E92738">
      <w:pPr>
        <w:jc w:val="both"/>
      </w:pPr>
      <w:r w:rsidRPr="00784558">
        <w:t>В  образовательных учреждениях сформирован институт наставничества, в этом большая заслуга заместителей директоров, старших воспитателей.</w:t>
      </w:r>
    </w:p>
    <w:p w:rsidR="00A8410B" w:rsidRPr="00784558" w:rsidRDefault="00A8410B" w:rsidP="00A8410B">
      <w:pPr>
        <w:jc w:val="both"/>
        <w:rPr>
          <w:b/>
        </w:rPr>
      </w:pPr>
      <w:r w:rsidRPr="00784558">
        <w:rPr>
          <w:b/>
        </w:rPr>
        <w:t>Модернизация.</w:t>
      </w:r>
    </w:p>
    <w:p w:rsidR="004336FB" w:rsidRPr="00784558" w:rsidRDefault="00784558" w:rsidP="007F5C9F">
      <w:pPr>
        <w:jc w:val="both"/>
      </w:pPr>
      <w:r w:rsidRPr="00784558">
        <w:t xml:space="preserve">     Расходы бюджета на образование в 2014 году составили 791,5 млн. рублей, что составляет 97,8% к 2013 году. По разделу 00700 «Образование» в 2014 году  межбюджетных трансфертов из областного бюджета получено в размере 473 211 184,63 рубля, в </w:t>
      </w:r>
      <w:proofErr w:type="spellStart"/>
      <w:r w:rsidRPr="00784558">
        <w:t>т.ч</w:t>
      </w:r>
      <w:proofErr w:type="spellEnd"/>
      <w:r w:rsidRPr="00784558">
        <w:t xml:space="preserve">. субвенции 326 458 697,63 р., из них на реализацию общеобразовательных программ- 326 328 884,63 р., на реализацию программ ДОУ – 129 813,0 рублей. </w:t>
      </w:r>
      <w:proofErr w:type="gramStart"/>
      <w:r w:rsidRPr="00784558">
        <w:t>Субсидии - 146 752 487, 0 из них ведомственная целевая программа Совершенствование организации школьного питания» - 9402 800,0 рублей, создание в общеобразовательных учреждениях, расположенных в сельской местности, условий для занятий спортом – 1 328 400,0 руб., государственная программа  «Развитие физической культуры и спорта» - 600 000,0+387 200,0 рублей, комплексная программа «Модернизация образован</w:t>
      </w:r>
      <w:r>
        <w:t>ия» (мероприятия по замене окон</w:t>
      </w:r>
      <w:r w:rsidRPr="00784558">
        <w:t>)- 5350900,0 рублей.</w:t>
      </w:r>
      <w:proofErr w:type="gramEnd"/>
      <w:r w:rsidRPr="00784558">
        <w:t xml:space="preserve">  Средняя заработная плата по экономике района за 2014 год – 18520 руб., работников бюджетной  сферы – 18802 руб.  Средняя номинальная начисленная заработная плата работников: ДОУ -15781, школ – 17948,  учителей – 27118. </w:t>
      </w:r>
    </w:p>
    <w:p w:rsidR="00784558" w:rsidRPr="00784558" w:rsidRDefault="00E25971" w:rsidP="002B3284">
      <w:pPr>
        <w:jc w:val="both"/>
        <w:rPr>
          <w:b/>
        </w:rPr>
      </w:pPr>
      <w:r w:rsidRPr="00784558">
        <w:rPr>
          <w:b/>
        </w:rPr>
        <w:t>До</w:t>
      </w:r>
      <w:r w:rsidR="00235DF9" w:rsidRPr="00784558">
        <w:rPr>
          <w:b/>
        </w:rPr>
        <w:t>п</w:t>
      </w:r>
      <w:r w:rsidRPr="00784558">
        <w:rPr>
          <w:b/>
        </w:rPr>
        <w:t>о</w:t>
      </w:r>
      <w:r w:rsidR="00235DF9" w:rsidRPr="00784558">
        <w:rPr>
          <w:b/>
        </w:rPr>
        <w:t>лнительное образование.</w:t>
      </w:r>
    </w:p>
    <w:p w:rsidR="00784558" w:rsidRPr="00784558" w:rsidRDefault="00784558" w:rsidP="00784558">
      <w:pPr>
        <w:jc w:val="both"/>
      </w:pPr>
      <w:r w:rsidRPr="00784558">
        <w:t>Для организации досуговой занятости детей и подростков в районе функционируют учреждения дополнительного образования детей. По итогам года охват детей дополн</w:t>
      </w:r>
      <w:r>
        <w:t>ительным образованием составил</w:t>
      </w:r>
      <w:r w:rsidRPr="00784558">
        <w:t xml:space="preserve"> 93,7%. Традицион</w:t>
      </w:r>
      <w:r>
        <w:t>но  1200 детей района занимались</w:t>
      </w:r>
      <w:r w:rsidRPr="00784558">
        <w:t xml:space="preserve"> в спортивных секциях и объединениях ДЮСШ, около 900 посещают кружки по интересам Дома детского творчества,  400- школу искусств, 450-  музыкальную школу, более 2500  детей посещают кружки и объединения при школе.</w:t>
      </w:r>
    </w:p>
    <w:p w:rsidR="00784558" w:rsidRPr="00784558" w:rsidRDefault="00784558" w:rsidP="00784558">
      <w:pPr>
        <w:jc w:val="both"/>
      </w:pPr>
      <w:r w:rsidRPr="00784558">
        <w:t xml:space="preserve">   Дом детского творчества    - это многопрофильное учреждение дополнительного образования детей, методический и досуговый центр в районе.  52 педагога допол</w:t>
      </w:r>
      <w:r>
        <w:t>нительного образования реализовывали</w:t>
      </w:r>
      <w:r w:rsidRPr="00784558">
        <w:t xml:space="preserve"> 57 дополнительных общеобразовательных программ и 11 индивидуальных образовательных маршрутов пяти направленностей.</w:t>
      </w:r>
    </w:p>
    <w:p w:rsidR="00784558" w:rsidRPr="00784558" w:rsidRDefault="00784558" w:rsidP="00784558">
      <w:pPr>
        <w:jc w:val="both"/>
      </w:pPr>
      <w:r w:rsidRPr="00784558">
        <w:t xml:space="preserve">В 2014 году Дом детского творчества отметил свой 50 – летний юбилей, в связи с этим,  коллектив Дом детского творчества награжден Почетной грамотой Главы Карасукского района за значительный вклад в обучение и воспитание подрастающего поколения. </w:t>
      </w:r>
      <w:r w:rsidRPr="00784558">
        <w:lastRenderedPageBreak/>
        <w:t>Большое внимание Дом детского творчества уделяет связям с дошкольными образовательными учреждениями.</w:t>
      </w:r>
    </w:p>
    <w:p w:rsidR="00784558" w:rsidRPr="00784558" w:rsidRDefault="00784558" w:rsidP="002B3284">
      <w:pPr>
        <w:jc w:val="both"/>
      </w:pPr>
      <w:r w:rsidRPr="00784558">
        <w:t xml:space="preserve">     В 2014 году в ДЮЦ  проводилось </w:t>
      </w:r>
      <w:proofErr w:type="gramStart"/>
      <w:r w:rsidRPr="00784558">
        <w:t>обучение  подростков по курсу</w:t>
      </w:r>
      <w:proofErr w:type="gramEnd"/>
      <w:r w:rsidRPr="00784558">
        <w:t xml:space="preserve"> «Начальная пилотная подготовка». Обучающиеся объединения «Юный спасатель» совершили прыжки с парашютом на аэродроме г. Бердска и на аэродроме «</w:t>
      </w:r>
      <w:proofErr w:type="spellStart"/>
      <w:r w:rsidRPr="00784558">
        <w:t>Танай</w:t>
      </w:r>
      <w:proofErr w:type="spellEnd"/>
      <w:r w:rsidRPr="00784558">
        <w:t>» в Кемеровской области.   Обучающиеся ДЮЦ приняли участие в ретро-пробеге, посвященном 70-летию Победы в Великой Отечественной Войне.</w:t>
      </w:r>
    </w:p>
    <w:p w:rsidR="004336FB" w:rsidRPr="00834AA0" w:rsidRDefault="004336FB" w:rsidP="00484962">
      <w:pPr>
        <w:jc w:val="both"/>
        <w:rPr>
          <w:b/>
        </w:rPr>
      </w:pPr>
      <w:r w:rsidRPr="00834AA0">
        <w:rPr>
          <w:b/>
        </w:rPr>
        <w:t>3.Выводы и заключения.</w:t>
      </w:r>
    </w:p>
    <w:p w:rsidR="00F04C1F" w:rsidRPr="00834AA0" w:rsidRDefault="003D6EF4" w:rsidP="00996967">
      <w:pPr>
        <w:jc w:val="both"/>
      </w:pPr>
      <w:r w:rsidRPr="00834AA0">
        <w:t>Анализ мероприятий, проводимых в сфере образов</w:t>
      </w:r>
      <w:r w:rsidR="00834AA0" w:rsidRPr="00834AA0">
        <w:t>ания в 2014</w:t>
      </w:r>
      <w:r w:rsidRPr="00834AA0">
        <w:t xml:space="preserve"> году,</w:t>
      </w:r>
      <w:r w:rsidR="0083555A" w:rsidRPr="00834AA0">
        <w:t xml:space="preserve"> позволяет сделать выводы, что основные показатели эффективности управления муниципальной системой образования имеют </w:t>
      </w:r>
      <w:r w:rsidR="00834AA0" w:rsidRPr="00834AA0">
        <w:t>позитивную динамику развития.</w:t>
      </w:r>
      <w:r w:rsidR="006A5580" w:rsidRPr="00834AA0">
        <w:br/>
      </w:r>
      <w:r w:rsidR="00834AA0" w:rsidRPr="00834AA0">
        <w:t xml:space="preserve"> Активно реализуется</w:t>
      </w:r>
      <w:r w:rsidR="00C353D3" w:rsidRPr="00834AA0">
        <w:t xml:space="preserve"> </w:t>
      </w:r>
      <w:r w:rsidR="00834AA0" w:rsidRPr="00834AA0">
        <w:t xml:space="preserve"> </w:t>
      </w:r>
      <w:r w:rsidR="00F04C1F" w:rsidRPr="00834AA0">
        <w:t xml:space="preserve">План мероприятий («дорожная карта») «Повышение эффективности и качества услуг образования в Карасукском районе на 2013 – 2018 годы». </w:t>
      </w:r>
    </w:p>
    <w:p w:rsidR="00784558" w:rsidRPr="00834AA0" w:rsidRDefault="004336FB" w:rsidP="00784558">
      <w:pPr>
        <w:jc w:val="both"/>
      </w:pPr>
      <w:r w:rsidRPr="00834AA0">
        <w:rPr>
          <w:b/>
        </w:rPr>
        <w:t xml:space="preserve"> </w:t>
      </w:r>
      <w:r w:rsidR="00996967" w:rsidRPr="00834AA0">
        <w:rPr>
          <w:b/>
        </w:rPr>
        <w:t xml:space="preserve"> </w:t>
      </w:r>
      <w:r w:rsidRPr="00834AA0">
        <w:t>Намечены   о</w:t>
      </w:r>
      <w:r w:rsidR="0083555A" w:rsidRPr="00834AA0">
        <w:t>сновные направления развития муниципа</w:t>
      </w:r>
      <w:r w:rsidR="003D6EF4" w:rsidRPr="00834AA0">
        <w:t>льной системы образования</w:t>
      </w:r>
      <w:r w:rsidR="00996967" w:rsidRPr="00834AA0">
        <w:t xml:space="preserve">  </w:t>
      </w:r>
      <w:r w:rsidR="00784558" w:rsidRPr="00834AA0">
        <w:t xml:space="preserve">в 2015-2016 </w:t>
      </w:r>
      <w:r w:rsidR="003D6EF4" w:rsidRPr="00834AA0">
        <w:t xml:space="preserve">учебном </w:t>
      </w:r>
      <w:r w:rsidR="001C1AB2" w:rsidRPr="00834AA0">
        <w:t xml:space="preserve"> году:</w:t>
      </w:r>
      <w:r w:rsidR="0083555A" w:rsidRPr="00834AA0">
        <w:rPr>
          <w:b/>
        </w:rPr>
        <w:br/>
      </w:r>
      <w:r w:rsidR="00784558" w:rsidRPr="00784558">
        <w:rPr>
          <w:b/>
        </w:rPr>
        <w:t>Задача 1. Удовлетворение потребности населения  в услугах дошкольного образования.</w:t>
      </w:r>
    </w:p>
    <w:p w:rsidR="00784558" w:rsidRPr="00784558" w:rsidRDefault="00784558" w:rsidP="00784558">
      <w:pPr>
        <w:jc w:val="both"/>
      </w:pPr>
      <w:r w:rsidRPr="00784558">
        <w:t>1.1.Модернизация условий образовательной деятельности ДОУ в соответствии с ФГОС дошкольного образования.</w:t>
      </w:r>
    </w:p>
    <w:p w:rsidR="00784558" w:rsidRPr="00784558" w:rsidRDefault="00784558" w:rsidP="00784558">
      <w:pPr>
        <w:jc w:val="both"/>
      </w:pPr>
      <w:r w:rsidRPr="00784558">
        <w:t>1.2.Развитие сети консультативно – образовательных центров раннего развития на основе действующей сети дошкольных ДОУ.</w:t>
      </w:r>
    </w:p>
    <w:p w:rsidR="00784558" w:rsidRPr="00784558" w:rsidRDefault="00784558" w:rsidP="00784558">
      <w:pPr>
        <w:jc w:val="both"/>
      </w:pPr>
      <w:r w:rsidRPr="00784558">
        <w:t xml:space="preserve">     В дошкольном образовании необходимо более активно внедрять вариативные формы развития дошкольного образования: группы кратковременного пребывания, семейные детские сады (особенно это актуально для малых сел). Развитие вариативности дошкольного образования позволяет не только решать проблему дефицита мест, но и предоставляет родителям возможность выбирать форму получения ребёнком дошкольного образования. Необходимо продолжать работу по созданию инфраструктуры психолого-педагогической, диагностической и консультативной помощи родителям с детьми до 3 лет. Актуальный вопрос -</w:t>
      </w:r>
      <w:r w:rsidR="00834AA0">
        <w:t xml:space="preserve"> </w:t>
      </w:r>
      <w:r w:rsidRPr="00784558">
        <w:t>повышение качества дошкольного образования, который связан с введением стандарта дошкольного образования. С 1 сентября 2015 года все образовательные организации, реализующие программы дошкольного образования, начнут работать в  соответствии со стандартом.</w:t>
      </w:r>
    </w:p>
    <w:p w:rsidR="00784558" w:rsidRPr="00784558" w:rsidRDefault="00784558" w:rsidP="00784558">
      <w:pPr>
        <w:jc w:val="both"/>
        <w:rPr>
          <w:b/>
        </w:rPr>
      </w:pPr>
      <w:r w:rsidRPr="00784558">
        <w:rPr>
          <w:b/>
        </w:rPr>
        <w:t xml:space="preserve">Задача 2. Формирование и реализация планов по развитию сети и базовой инфраструктуры образовательных учреждений общего образования  с учетом решения проблемы обучения школьников во вторую смену. </w:t>
      </w:r>
    </w:p>
    <w:p w:rsidR="00784558" w:rsidRPr="00784558" w:rsidRDefault="00784558" w:rsidP="00784558">
      <w:pPr>
        <w:jc w:val="both"/>
      </w:pPr>
      <w:r w:rsidRPr="00784558">
        <w:t>2.1.Перевод классов в общеобразовательных организациях города Карасука для обучения  в первую смену.</w:t>
      </w:r>
    </w:p>
    <w:p w:rsidR="00784558" w:rsidRPr="00784558" w:rsidRDefault="00784558" w:rsidP="00784558">
      <w:pPr>
        <w:jc w:val="both"/>
      </w:pPr>
      <w:r w:rsidRPr="00784558">
        <w:t>2.2.Модернизация материально-технической и ресурсной базы общеобразовательных организаций.</w:t>
      </w:r>
    </w:p>
    <w:p w:rsidR="00746CF6" w:rsidRDefault="00784558" w:rsidP="00784558">
      <w:pPr>
        <w:jc w:val="both"/>
      </w:pPr>
      <w:r w:rsidRPr="00784558">
        <w:t xml:space="preserve">      В числе основных проблем - перевод учащихся в одну смену. Для ее решения  до 2025 г. необходимо построить 1 новую школу и пристройку к СОШ №2, чтобы 1100 учащихся г. Карасука могли обучаться в первую смену. </w:t>
      </w:r>
    </w:p>
    <w:p w:rsidR="00784558" w:rsidRPr="00784558" w:rsidRDefault="00784558" w:rsidP="00784558">
      <w:pPr>
        <w:jc w:val="both"/>
        <w:rPr>
          <w:b/>
        </w:rPr>
      </w:pPr>
      <w:r w:rsidRPr="00784558">
        <w:rPr>
          <w:b/>
        </w:rPr>
        <w:t>Задача 3. Повышение доступности образовательных услуг для детей - инвалидов и детей с ОВЗ.</w:t>
      </w:r>
    </w:p>
    <w:p w:rsidR="00784558" w:rsidRPr="00784558" w:rsidRDefault="00784558" w:rsidP="00784558">
      <w:pPr>
        <w:jc w:val="both"/>
      </w:pPr>
      <w:r w:rsidRPr="00784558">
        <w:t xml:space="preserve">3.1.Поддержка дистанционного образования. </w:t>
      </w:r>
      <w:r w:rsidRPr="00784558">
        <w:tab/>
      </w:r>
    </w:p>
    <w:p w:rsidR="00784558" w:rsidRPr="00784558" w:rsidRDefault="00784558" w:rsidP="00784558">
      <w:pPr>
        <w:jc w:val="both"/>
      </w:pPr>
      <w:r w:rsidRPr="00784558">
        <w:t>3.2.Оказание диагностической и консультативной помощи родителям, имеющих детей - инвалидов и детей с ОВЗ.</w:t>
      </w:r>
    </w:p>
    <w:p w:rsidR="00784558" w:rsidRPr="00784558" w:rsidRDefault="00784558" w:rsidP="00784558">
      <w:pPr>
        <w:jc w:val="both"/>
      </w:pPr>
      <w:r w:rsidRPr="00784558">
        <w:t xml:space="preserve">     Важная задача - начать реализацию ФГОС для детей с ОВЗ и обеспечить </w:t>
      </w:r>
      <w:proofErr w:type="gramStart"/>
      <w:r w:rsidRPr="00784558">
        <w:t>бесплатным</w:t>
      </w:r>
      <w:proofErr w:type="gramEnd"/>
      <w:r w:rsidRPr="00784558">
        <w:t xml:space="preserve"> двухразовым питание детей с ОВЗ. Кроме этого, будет уделено особое внимание созданию вариативных условий, обеспечивающих доступность и качество образования для детей с ограниченными возможностями здоровья.   </w:t>
      </w:r>
    </w:p>
    <w:p w:rsidR="00784558" w:rsidRPr="00784558" w:rsidRDefault="00784558" w:rsidP="00784558">
      <w:pPr>
        <w:jc w:val="both"/>
      </w:pPr>
    </w:p>
    <w:p w:rsidR="00784558" w:rsidRPr="00784558" w:rsidRDefault="00784558" w:rsidP="00784558">
      <w:pPr>
        <w:jc w:val="both"/>
        <w:rPr>
          <w:b/>
        </w:rPr>
      </w:pPr>
      <w:r w:rsidRPr="00784558">
        <w:rPr>
          <w:b/>
        </w:rPr>
        <w:t>Задача 4. Реализация эффективных мер государственной поддержки системы поиска и развития одаренности у детей и учащейся молодежи.</w:t>
      </w:r>
    </w:p>
    <w:p w:rsidR="00784558" w:rsidRPr="00784558" w:rsidRDefault="00784558" w:rsidP="00A171E6">
      <w:pPr>
        <w:jc w:val="both"/>
      </w:pPr>
      <w:r w:rsidRPr="00784558">
        <w:lastRenderedPageBreak/>
        <w:t>4.1. Выявление, поддержка  и развитие одаренных и талантливых детей</w:t>
      </w:r>
    </w:p>
    <w:p w:rsidR="00784558" w:rsidRPr="00784558" w:rsidRDefault="00784558" w:rsidP="00A171E6">
      <w:pPr>
        <w:jc w:val="both"/>
      </w:pPr>
      <w:r w:rsidRPr="00784558">
        <w:t>4.2. Функционирование ресурсного центра по работе с одаренными детьми.</w:t>
      </w:r>
    </w:p>
    <w:p w:rsidR="00784558" w:rsidRPr="00784558" w:rsidRDefault="00784558" w:rsidP="00A171E6">
      <w:pPr>
        <w:jc w:val="both"/>
      </w:pPr>
      <w:r w:rsidRPr="00784558">
        <w:t>4.3.Создание условий для сопровождения одаренных детей и талантливой молодежи.</w:t>
      </w:r>
    </w:p>
    <w:p w:rsidR="00784558" w:rsidRPr="00784558" w:rsidRDefault="00784558" w:rsidP="00A171E6">
      <w:pPr>
        <w:jc w:val="both"/>
      </w:pPr>
      <w:r w:rsidRPr="00784558">
        <w:t xml:space="preserve">     В новом учебном году будет продолжена работу по внедрению современных моделей раннего выявления, психолого-педагогического сопровождения талантливых детей.</w:t>
      </w:r>
    </w:p>
    <w:p w:rsidR="00784558" w:rsidRPr="00784558" w:rsidRDefault="00784558" w:rsidP="00A171E6">
      <w:pPr>
        <w:jc w:val="both"/>
        <w:rPr>
          <w:b/>
        </w:rPr>
      </w:pPr>
      <w:r w:rsidRPr="00784558">
        <w:rPr>
          <w:b/>
        </w:rPr>
        <w:t xml:space="preserve">  Задача 5. Совершенствование механизмов и процедур государственно – общественного управления в сфере образования Карасукского района </w:t>
      </w:r>
    </w:p>
    <w:p w:rsidR="00784558" w:rsidRPr="00784558" w:rsidRDefault="00784558" w:rsidP="00A171E6">
      <w:pPr>
        <w:jc w:val="both"/>
      </w:pPr>
      <w:r w:rsidRPr="00784558">
        <w:t>5.1.Активизация работы Совета руководителей общеобразовательных организаций, Ассоциации молодых педагогов и  Совета руководителей дошкольных образовательных организаций.</w:t>
      </w:r>
    </w:p>
    <w:p w:rsidR="00784558" w:rsidRPr="000F54B7" w:rsidRDefault="000F54B7" w:rsidP="00A171E6">
      <w:pPr>
        <w:jc w:val="both"/>
      </w:pPr>
      <w:r>
        <w:t xml:space="preserve">  </w:t>
      </w:r>
      <w:r w:rsidR="00784558" w:rsidRPr="00784558">
        <w:rPr>
          <w:b/>
        </w:rPr>
        <w:t>Задача 6. Повышение качества образования, результативности деятельности образовательных организаций по эффективности расходования средств.</w:t>
      </w:r>
    </w:p>
    <w:p w:rsidR="00784558" w:rsidRPr="00784558" w:rsidRDefault="00784558" w:rsidP="00A171E6">
      <w:pPr>
        <w:jc w:val="both"/>
      </w:pPr>
      <w:r w:rsidRPr="00784558">
        <w:t xml:space="preserve"> 6.1. Развитие проекта «Школьный округ».  </w:t>
      </w:r>
    </w:p>
    <w:p w:rsidR="00784558" w:rsidRPr="00784558" w:rsidRDefault="00784558" w:rsidP="00A171E6">
      <w:pPr>
        <w:jc w:val="both"/>
      </w:pPr>
      <w:r w:rsidRPr="00784558">
        <w:t>6.2.Распространение опыта образовательных организаций, реализующих инновационные программы и проекты.</w:t>
      </w:r>
    </w:p>
    <w:p w:rsidR="00784558" w:rsidRPr="00784558" w:rsidRDefault="00784558" w:rsidP="00A171E6">
      <w:pPr>
        <w:jc w:val="both"/>
      </w:pPr>
      <w:r w:rsidRPr="00784558">
        <w:t xml:space="preserve">     ЕГЭ был проведен объективно и честно. Такая же позиция должна сохраниться и при проведении ГИА в 9-х классах. В новом учебном году  в числе нововведений планируется проведение всероссийских проверочных работ». С 1 сентября в школах появятся электронные версии учебников, а также новые учебники истории. </w:t>
      </w:r>
    </w:p>
    <w:p w:rsidR="00784558" w:rsidRPr="00784558" w:rsidRDefault="00784558" w:rsidP="00784558">
      <w:pPr>
        <w:jc w:val="both"/>
      </w:pPr>
      <w:r w:rsidRPr="00784558">
        <w:t xml:space="preserve">     Большое внимание будет уделяться математическому образования, а также   повышению качества преподавания русского языка и литературы.  Одной из задач предстоящего периода должно стать внедрение современных моделей поддержки школ с низкими результатами обучения и функционирующих в неблагоприятных социальных условиях. В системе управления образованием: начать переход от системы оценки качества образования к системе управления качеством образования и развитию внешней оценки системы образования.</w:t>
      </w:r>
    </w:p>
    <w:p w:rsidR="00784558" w:rsidRPr="00784558" w:rsidRDefault="00784558" w:rsidP="00784558">
      <w:pPr>
        <w:jc w:val="both"/>
      </w:pPr>
      <w:r w:rsidRPr="00784558">
        <w:t xml:space="preserve">     Воспитание является неотъемлемой частью образовательного процесса, основные документы, на основе которых должны строить свою работу учреждения   «Стратегия развития воспитания в РФ» и «Программа патриотического воспитания в РФ».</w:t>
      </w:r>
    </w:p>
    <w:p w:rsidR="00784558" w:rsidRPr="00784558" w:rsidRDefault="00784558" w:rsidP="00784558">
      <w:pPr>
        <w:jc w:val="both"/>
        <w:rPr>
          <w:b/>
        </w:rPr>
      </w:pPr>
      <w:r w:rsidRPr="00784558">
        <w:rPr>
          <w:b/>
        </w:rPr>
        <w:t>Задача 7. Повышение качества кадрового потенциала системы образования.</w:t>
      </w:r>
    </w:p>
    <w:p w:rsidR="00784558" w:rsidRPr="00784558" w:rsidRDefault="00784558" w:rsidP="00784558">
      <w:pPr>
        <w:jc w:val="both"/>
      </w:pPr>
      <w:r w:rsidRPr="00784558">
        <w:t xml:space="preserve">7.1.Организация работы на повышение уровня профессиональной квалификации. </w:t>
      </w:r>
    </w:p>
    <w:p w:rsidR="00784558" w:rsidRPr="00784558" w:rsidRDefault="00784558" w:rsidP="00784558">
      <w:pPr>
        <w:jc w:val="both"/>
      </w:pPr>
      <w:r w:rsidRPr="00784558">
        <w:t>7.2.Привлечение и закрепление квалифицированных педагогических кадров. Развитие наставничества. Организация целевого набора в НГПУ (в соответствии с потребностями общеобразовательных организаций).</w:t>
      </w:r>
    </w:p>
    <w:p w:rsidR="00784558" w:rsidRPr="00784558" w:rsidRDefault="00784558" w:rsidP="00784558">
      <w:pPr>
        <w:jc w:val="both"/>
      </w:pPr>
      <w:r w:rsidRPr="00784558">
        <w:t>7.3.Повышение эффективности деятельности районных методических объединений по внедрению инновационных форм и механизмов в методическую подготовку учителей.</w:t>
      </w:r>
    </w:p>
    <w:p w:rsidR="00784558" w:rsidRPr="00784558" w:rsidRDefault="00784558" w:rsidP="00784558">
      <w:pPr>
        <w:jc w:val="both"/>
      </w:pPr>
      <w:r w:rsidRPr="00784558">
        <w:t xml:space="preserve">    Предстоит систематическая работа  по укреплению кадрового потенциала системы образования</w:t>
      </w:r>
      <w:proofErr w:type="gramStart"/>
      <w:r w:rsidRPr="00784558">
        <w:t>.</w:t>
      </w:r>
      <w:proofErr w:type="gramEnd"/>
      <w:r w:rsidRPr="00784558">
        <w:t xml:space="preserve"> «…</w:t>
      </w:r>
      <w:proofErr w:type="gramStart"/>
      <w:r w:rsidRPr="00784558">
        <w:t>н</w:t>
      </w:r>
      <w:proofErr w:type="gramEnd"/>
      <w:r w:rsidRPr="00784558">
        <w:t>е все измеряется финансовыми показателями. Личность учителя, его профессионализм, навыки воспитателя, нравственные установки оказывают огромное влияние на наше подрастающее поколение, часто определяют его дальнейший жизненный путь и успехи. Поэтому хочется высказать слова благодарности всем коллективам школ и детских садов, которые искренне, с полной отдачей сил трудятся на благо подрастающего поколения», – сказал Губернатор Владимир Городецкий на 15 съезде работников образования НСО.</w:t>
      </w:r>
    </w:p>
    <w:p w:rsidR="00784558" w:rsidRPr="00784558" w:rsidRDefault="00784558" w:rsidP="00784558">
      <w:pPr>
        <w:jc w:val="both"/>
        <w:rPr>
          <w:b/>
        </w:rPr>
      </w:pPr>
      <w:r w:rsidRPr="00784558">
        <w:rPr>
          <w:b/>
        </w:rPr>
        <w:t>Задача 8. Создание и поддержка эффективной системы профессиональной ориентации школьников и молодежи</w:t>
      </w:r>
    </w:p>
    <w:p w:rsidR="00784558" w:rsidRPr="00784558" w:rsidRDefault="00784558" w:rsidP="00784558">
      <w:pPr>
        <w:jc w:val="both"/>
      </w:pPr>
      <w:r w:rsidRPr="00784558">
        <w:t xml:space="preserve">8.1.Совершенствование системы профессиональной ориентации </w:t>
      </w:r>
      <w:proofErr w:type="gramStart"/>
      <w:r w:rsidRPr="00784558">
        <w:t>обучающихся</w:t>
      </w:r>
      <w:proofErr w:type="gramEnd"/>
      <w:r w:rsidRPr="00784558">
        <w:t>.</w:t>
      </w:r>
    </w:p>
    <w:p w:rsidR="00784558" w:rsidRPr="00784558" w:rsidRDefault="00784558" w:rsidP="00784558">
      <w:pPr>
        <w:jc w:val="both"/>
      </w:pPr>
      <w:r w:rsidRPr="00784558">
        <w:t>8.2.Работа по определению профессионального самоопределения старшеклассников.</w:t>
      </w:r>
    </w:p>
    <w:p w:rsidR="00784558" w:rsidRPr="00784558" w:rsidRDefault="00784558" w:rsidP="00784558">
      <w:pPr>
        <w:jc w:val="both"/>
      </w:pPr>
      <w:r w:rsidRPr="00784558">
        <w:t xml:space="preserve">     В числе  основных задач - создание региональных моделей учреждений нового типа с интеграцией общего и дополнительного образования детей: муниципальные и школьные детские и учительские технопарки, СТЭМ-центры и СТЭМ-лаборатории технического творчества школьников, школьные конструкторские бюро. Нам необходимо развитие </w:t>
      </w:r>
      <w:proofErr w:type="gramStart"/>
      <w:r w:rsidRPr="00784558">
        <w:t>школьного</w:t>
      </w:r>
      <w:proofErr w:type="gramEnd"/>
      <w:r w:rsidRPr="00784558">
        <w:t xml:space="preserve"> </w:t>
      </w:r>
      <w:proofErr w:type="spellStart"/>
      <w:r w:rsidRPr="00784558">
        <w:t>технопредпринимательства</w:t>
      </w:r>
      <w:proofErr w:type="spellEnd"/>
      <w:r w:rsidRPr="00784558">
        <w:t xml:space="preserve"> для отработки детьми инженерных, лидерских и бизнес-компетенций.  Подобный опыт в нашем районе уже есть. Педагоги и ученики </w:t>
      </w:r>
      <w:r w:rsidRPr="00784558">
        <w:lastRenderedPageBreak/>
        <w:t xml:space="preserve">технического лицея № 176 создали уникальный фрезерный станок с ЧПУ. Этот  станок в четыре раза дешевле аналогичного импортного оборудования». Конкретным примером школьного  </w:t>
      </w:r>
      <w:proofErr w:type="spellStart"/>
      <w:r w:rsidRPr="00784558">
        <w:t>технопредпринимательства</w:t>
      </w:r>
      <w:proofErr w:type="spellEnd"/>
      <w:r w:rsidRPr="00784558">
        <w:t xml:space="preserve"> стала реализованная инициатива муниципального ресурсного центра для одаренных детей, созданного на базе двух учреждений: технического лицея № 176 и Детско-юношеского центра.</w:t>
      </w:r>
    </w:p>
    <w:p w:rsidR="00784558" w:rsidRPr="00784558" w:rsidRDefault="00784558" w:rsidP="00784558">
      <w:pPr>
        <w:jc w:val="both"/>
      </w:pPr>
      <w:r w:rsidRPr="00784558">
        <w:t xml:space="preserve">     Сегодня система образования приобретает особую значимость в связи с необходимостью подготовки кадров для «новой экономики» Новосибирской области. Наша область стала участником проекта </w:t>
      </w:r>
      <w:proofErr w:type="spellStart"/>
      <w:r w:rsidRPr="00784558">
        <w:t>JuniorSkills</w:t>
      </w:r>
      <w:proofErr w:type="spellEnd"/>
      <w:r w:rsidRPr="00784558">
        <w:t xml:space="preserve">. «Дорожную карту» о сотрудничестве подписали министр образования НСО и директор образовательных программ фонда "Вольное дело", руководитель программы </w:t>
      </w:r>
      <w:proofErr w:type="spellStart"/>
      <w:r w:rsidRPr="00784558">
        <w:t>JuniorSkills</w:t>
      </w:r>
      <w:proofErr w:type="spellEnd"/>
      <w:r w:rsidRPr="00784558">
        <w:t xml:space="preserve">. Карасукский район является ресурсным центром для инновационного проекта развития образования школьников в сельских районах «Инженерная компетентность – сила развития Родины». Руководитель проекта: Зозуля Юрий Викторович, депутат законодательного собрания НСО, руководитель представительства </w:t>
      </w:r>
      <w:proofErr w:type="spellStart"/>
      <w:r w:rsidRPr="00784558">
        <w:t>Госкорпорации</w:t>
      </w:r>
      <w:proofErr w:type="spellEnd"/>
      <w:r w:rsidRPr="00784558">
        <w:t xml:space="preserve"> «</w:t>
      </w:r>
      <w:proofErr w:type="spellStart"/>
      <w:r w:rsidRPr="00784558">
        <w:t>Ростех</w:t>
      </w:r>
      <w:proofErr w:type="spellEnd"/>
      <w:r w:rsidRPr="00784558">
        <w:t>» в НСО, доктор экономических наук.</w:t>
      </w:r>
    </w:p>
    <w:p w:rsidR="00784558" w:rsidRPr="00784558" w:rsidRDefault="00784558" w:rsidP="00784558">
      <w:pPr>
        <w:jc w:val="both"/>
      </w:pPr>
    </w:p>
    <w:p w:rsidR="00784558" w:rsidRPr="00784558" w:rsidRDefault="00784558" w:rsidP="00784558">
      <w:pPr>
        <w:jc w:val="both"/>
      </w:pPr>
    </w:p>
    <w:p w:rsidR="00784558" w:rsidRPr="00784558" w:rsidRDefault="00784558" w:rsidP="00784558">
      <w:pPr>
        <w:jc w:val="both"/>
      </w:pPr>
    </w:p>
    <w:p w:rsidR="00784558" w:rsidRPr="00784558" w:rsidRDefault="00784558" w:rsidP="00784558">
      <w:pPr>
        <w:jc w:val="both"/>
      </w:pPr>
    </w:p>
    <w:p w:rsidR="004E5B5D" w:rsidRPr="00F37886" w:rsidRDefault="004E5B5D" w:rsidP="00784558">
      <w:pPr>
        <w:rPr>
          <w:color w:val="FF0000"/>
        </w:rPr>
        <w:sectPr w:rsidR="004E5B5D" w:rsidRPr="00F37886" w:rsidSect="004F5D7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5397E" w:rsidRPr="0015397E" w:rsidRDefault="0015397E" w:rsidP="0015397E">
      <w:pPr>
        <w:jc w:val="center"/>
        <w:rPr>
          <w:b/>
          <w:color w:val="00B050"/>
        </w:rPr>
      </w:pPr>
    </w:p>
    <w:p w:rsidR="0015397E" w:rsidRPr="0015397E" w:rsidRDefault="0015397E" w:rsidP="0015397E">
      <w:pPr>
        <w:jc w:val="center"/>
        <w:rPr>
          <w:b/>
          <w:color w:val="00B050"/>
        </w:rPr>
      </w:pPr>
    </w:p>
    <w:p w:rsidR="0015397E" w:rsidRPr="0015397E" w:rsidRDefault="0015397E" w:rsidP="0015397E">
      <w:pPr>
        <w:jc w:val="center"/>
        <w:rPr>
          <w:b/>
          <w:color w:val="00B050"/>
        </w:rPr>
      </w:pPr>
    </w:p>
    <w:p w:rsidR="0015397E" w:rsidRPr="0015397E" w:rsidRDefault="0015397E" w:rsidP="0015397E">
      <w:pPr>
        <w:jc w:val="center"/>
        <w:rPr>
          <w:b/>
          <w:color w:val="00B050"/>
        </w:rPr>
      </w:pPr>
    </w:p>
    <w:p w:rsidR="0015397E" w:rsidRPr="0015397E" w:rsidRDefault="0015397E" w:rsidP="0015397E">
      <w:pPr>
        <w:jc w:val="center"/>
        <w:rPr>
          <w:b/>
          <w:color w:val="00B050"/>
        </w:rPr>
      </w:pPr>
    </w:p>
    <w:p w:rsidR="003B1AD5" w:rsidRPr="0015397E" w:rsidRDefault="003B1AD5" w:rsidP="003B1AD5">
      <w:pPr>
        <w:rPr>
          <w:color w:val="00B050"/>
        </w:rPr>
      </w:pPr>
    </w:p>
    <w:p w:rsidR="008722B8" w:rsidRPr="0015397E" w:rsidRDefault="008722B8" w:rsidP="00996967">
      <w:pPr>
        <w:rPr>
          <w:b/>
          <w:color w:val="00B050"/>
        </w:rPr>
      </w:pPr>
    </w:p>
    <w:p w:rsidR="008722B8" w:rsidRPr="0015397E" w:rsidRDefault="008722B8" w:rsidP="00996967">
      <w:pPr>
        <w:rPr>
          <w:b/>
          <w:color w:val="00B050"/>
        </w:rPr>
      </w:pPr>
    </w:p>
    <w:p w:rsidR="008722B8" w:rsidRPr="0015397E" w:rsidRDefault="008722B8" w:rsidP="00996967">
      <w:pPr>
        <w:rPr>
          <w:b/>
          <w:color w:val="00B050"/>
        </w:rPr>
      </w:pPr>
    </w:p>
    <w:p w:rsidR="008722B8" w:rsidRPr="0015397E" w:rsidRDefault="008722B8" w:rsidP="00996967">
      <w:pPr>
        <w:rPr>
          <w:b/>
          <w:color w:val="00B050"/>
        </w:rPr>
      </w:pPr>
    </w:p>
    <w:p w:rsidR="008722B8" w:rsidRPr="0015397E" w:rsidRDefault="008722B8" w:rsidP="00996967">
      <w:pPr>
        <w:rPr>
          <w:b/>
          <w:color w:val="00B050"/>
        </w:rPr>
      </w:pPr>
    </w:p>
    <w:p w:rsidR="008722B8" w:rsidRPr="0015397E" w:rsidRDefault="008722B8" w:rsidP="00996967">
      <w:pPr>
        <w:rPr>
          <w:b/>
          <w:color w:val="00B050"/>
        </w:rPr>
      </w:pPr>
    </w:p>
    <w:p w:rsidR="008722B8" w:rsidRPr="0015397E" w:rsidRDefault="008722B8" w:rsidP="00996967">
      <w:pPr>
        <w:rPr>
          <w:b/>
          <w:color w:val="00B050"/>
        </w:rPr>
      </w:pPr>
    </w:p>
    <w:p w:rsidR="008722B8" w:rsidRDefault="008722B8" w:rsidP="00996967">
      <w:pPr>
        <w:rPr>
          <w:b/>
        </w:rPr>
      </w:pPr>
    </w:p>
    <w:p w:rsidR="008722B8" w:rsidRDefault="008722B8" w:rsidP="00996967">
      <w:pPr>
        <w:rPr>
          <w:b/>
        </w:rPr>
      </w:pPr>
    </w:p>
    <w:p w:rsidR="008722B8" w:rsidRDefault="008722B8" w:rsidP="00996967">
      <w:pPr>
        <w:rPr>
          <w:b/>
        </w:rPr>
      </w:pPr>
    </w:p>
    <w:p w:rsidR="008722B8" w:rsidRDefault="008722B8" w:rsidP="00996967">
      <w:pPr>
        <w:rPr>
          <w:b/>
        </w:rPr>
      </w:pPr>
    </w:p>
    <w:p w:rsidR="008722B8" w:rsidRDefault="008722B8" w:rsidP="00996967">
      <w:pPr>
        <w:rPr>
          <w:b/>
        </w:rPr>
      </w:pPr>
    </w:p>
    <w:p w:rsidR="008722B8" w:rsidRPr="00844452" w:rsidRDefault="008722B8" w:rsidP="00996967">
      <w:pPr>
        <w:rPr>
          <w:b/>
        </w:rPr>
        <w:sectPr w:rsidR="008722B8" w:rsidRPr="00844452" w:rsidSect="004B3393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5C6249" w:rsidRPr="000364DD" w:rsidRDefault="00996967" w:rsidP="00996967">
      <w:pPr>
        <w:rPr>
          <w:b/>
        </w:rPr>
      </w:pPr>
      <w:proofErr w:type="gramStart"/>
      <w:r w:rsidRPr="000364DD">
        <w:rPr>
          <w:b/>
          <w:lang w:val="en-US"/>
        </w:rPr>
        <w:lastRenderedPageBreak/>
        <w:t>II</w:t>
      </w:r>
      <w:r w:rsidRPr="000364DD">
        <w:rPr>
          <w:b/>
        </w:rPr>
        <w:t>.Показатели мониторинга системы образования</w:t>
      </w:r>
      <w:r w:rsidR="005C6249" w:rsidRPr="000364DD">
        <w:rPr>
          <w:b/>
        </w:rPr>
        <w:t>.</w:t>
      </w:r>
      <w:proofErr w:type="gram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3"/>
        <w:gridCol w:w="1460"/>
      </w:tblGrid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5C6249">
            <w:pPr>
              <w:spacing w:after="200" w:line="276" w:lineRule="auto"/>
              <w:rPr>
                <w:b/>
              </w:rPr>
            </w:pPr>
            <w:proofErr w:type="gramStart"/>
            <w:r w:rsidRPr="000364DD">
              <w:rPr>
                <w:b/>
              </w:rPr>
              <w:t>Раздел/подраздел</w:t>
            </w:r>
            <w:proofErr w:type="gramEnd"/>
            <w:r w:rsidRPr="000364DD">
              <w:rPr>
                <w:b/>
              </w:rPr>
              <w:t xml:space="preserve">/показатель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5C6249">
            <w:pPr>
              <w:spacing w:after="200" w:line="276" w:lineRule="auto"/>
              <w:rPr>
                <w:b/>
              </w:rPr>
            </w:pPr>
            <w:r w:rsidRPr="000364DD">
              <w:rPr>
                <w:b/>
              </w:rPr>
              <w:t xml:space="preserve">Единица измерения 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I. Общее образование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 Сведения о развитии дошкольного образования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597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1.1. Уровень доступности дошкольного образования и численность населения, получающего дошкольное образование: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1.1.1. </w:t>
            </w:r>
            <w:proofErr w:type="gramStart"/>
            <w:r w:rsidRPr="000364DD">
              <w:rPr>
                <w:b/>
              </w:rPr>
              <w:t xml:space="preserve"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образования). </w:t>
            </w:r>
            <w:proofErr w:type="gramEnd"/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99%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3777BE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63</w:t>
            </w:r>
            <w:r w:rsidR="005C6249" w:rsidRPr="000364DD">
              <w:rPr>
                <w:b/>
              </w:rPr>
              <w:t>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1.2. Содержание образовательной деятельности и организация образовательного процесса по образовательным программам дошкольного образования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1.3.1. Численность воспитанников организаций дошкольного образования в расчете на 1 педагогического работника.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3777BE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12</w:t>
            </w:r>
            <w:r w:rsidR="005C6249" w:rsidRPr="000364DD">
              <w:rPr>
                <w:b/>
              </w:rPr>
              <w:t xml:space="preserve"> чел.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1.4. Материально-техническое и информационное обеспечение дошкольных образовательных организаций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1.4.1. Площадь помещений, используемых непосредственно для нужд дошкольных образовательных организаций, в расчете на одного </w:t>
            </w:r>
            <w:r w:rsidRPr="000364DD">
              <w:rPr>
                <w:b/>
              </w:rPr>
              <w:lastRenderedPageBreak/>
              <w:t xml:space="preserve">воспитанника.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3777BE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lastRenderedPageBreak/>
              <w:t>9,7</w:t>
            </w:r>
            <w:r w:rsidR="005C6249" w:rsidRPr="000364DD">
              <w:rPr>
                <w:b/>
              </w:rPr>
              <w:t xml:space="preserve"> </w:t>
            </w:r>
            <w:proofErr w:type="spellStart"/>
            <w:r w:rsidR="005C6249" w:rsidRPr="000364DD">
              <w:rPr>
                <w:b/>
              </w:rPr>
              <w:t>кв</w:t>
            </w:r>
            <w:proofErr w:type="gramStart"/>
            <w:r w:rsidR="005C6249" w:rsidRPr="000364DD">
              <w:rPr>
                <w:b/>
              </w:rPr>
              <w:t>.м</w:t>
            </w:r>
            <w:proofErr w:type="spellEnd"/>
            <w:proofErr w:type="gramEnd"/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lastRenderedPageBreak/>
              <w:t xml:space="preserve">1.4.2. Удельный вес числа организаций, имеющих водоснабжение, центральное отопление, канализацию, в общем числе дошкольных образовательных организаций: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водоснабжение;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100%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центральное отопление;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100%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канализацию.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100% 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72%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1.4.4. Удельный вес числа организаций, имеющих закрытые плавательные бассейны, в общем числе дошкольных 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4</w:t>
            </w:r>
            <w:r w:rsidR="00B6430C" w:rsidRPr="000364DD">
              <w:rPr>
                <w:b/>
              </w:rPr>
              <w:t>,16</w:t>
            </w:r>
            <w:r w:rsidRPr="000364DD">
              <w:rPr>
                <w:b/>
              </w:rPr>
              <w:t>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1.4.5. Число персональных компьютеров, доступных для использования детьми, в расчете на 100 воспитанников дошкольных 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625C17" w:rsidP="00844452">
            <w:pPr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1.5.1. Удельный вес численности детей с ограниченными возможностями здоровья в общей численности воспитанников дошкольных 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3777BE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10</w:t>
            </w:r>
            <w:r w:rsidR="005C6249" w:rsidRPr="000364DD">
              <w:rPr>
                <w:b/>
              </w:rPr>
              <w:t>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1.5.2. Удельный вес численности детей-инвалидов в общей численности воспитанников дошкольных 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0</w:t>
            </w:r>
            <w:r w:rsidR="00625C17">
              <w:rPr>
                <w:b/>
              </w:rPr>
              <w:t>,5</w:t>
            </w:r>
            <w:r w:rsidRPr="000364DD">
              <w:rPr>
                <w:b/>
              </w:rPr>
              <w:t>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1.6. Состояние здоровья лиц, обучающихся по программам дошкольного образования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1.6.1. Пропущено дней по болезни одним ребенком в дошкольной образовательной организации в год.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3777BE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15</w:t>
            </w:r>
            <w:r w:rsidR="005C6249" w:rsidRPr="000364DD">
              <w:rPr>
                <w:b/>
              </w:rPr>
              <w:t xml:space="preserve"> дней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1.7.1. Темп роста числа дошкольных 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1.8.1. Общий объем финансовых средств, поступивших в дошкольные образовательные организации, в расчете на одного воспитанника.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3777BE" w:rsidP="003777BE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100</w:t>
            </w:r>
            <w:r w:rsidR="005C6249" w:rsidRPr="000364DD">
              <w:rPr>
                <w:b/>
              </w:rPr>
              <w:t>,</w:t>
            </w:r>
            <w:r w:rsidRPr="000364DD">
              <w:rPr>
                <w:b/>
              </w:rPr>
              <w:t>5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1.8.2. Удельный вес финансовых средств от приносящей доход деятельности в общем объеме финансовых средств дошкольных 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1.9.1. Удельный вес числа организаций, здания которых находятся в </w:t>
            </w:r>
            <w:r w:rsidRPr="000364DD">
              <w:rPr>
                <w:b/>
              </w:rPr>
              <w:lastRenderedPageBreak/>
              <w:t xml:space="preserve">аварийном состоянии, в общем числе дошкольных 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625C17" w:rsidP="00844452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0</w:t>
            </w:r>
            <w:r w:rsidR="005C6249" w:rsidRPr="000364DD">
              <w:rPr>
                <w:b/>
              </w:rPr>
              <w:t>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lastRenderedPageBreak/>
              <w:t xml:space="preserve">1.9.2. Удельный вес числа организаций, здания которых требуют капитального ремонта, в общем числе дошкольных 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625C17" w:rsidP="00844452">
            <w:pPr>
              <w:spacing w:line="276" w:lineRule="auto"/>
              <w:rPr>
                <w:b/>
              </w:rPr>
            </w:pPr>
            <w:r>
              <w:rPr>
                <w:b/>
              </w:rPr>
              <w:t>8,3</w:t>
            </w:r>
            <w:r w:rsidR="005C6249" w:rsidRPr="000364DD">
              <w:rPr>
                <w:b/>
              </w:rPr>
              <w:t>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 Сведения о развитии начального общего образования, основного общего образования и среднего общего образования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7-17 лет).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9B6211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99,55</w:t>
            </w:r>
            <w:r w:rsidR="005C6249" w:rsidRPr="000364DD">
              <w:rPr>
                <w:b/>
              </w:rPr>
              <w:t>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DE70A6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43,67</w:t>
            </w:r>
            <w:r w:rsidR="005C6249" w:rsidRPr="000364DD">
              <w:rPr>
                <w:b/>
              </w:rPr>
              <w:t>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2.1.3. 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организаций).*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процент </w:t>
            </w:r>
          </w:p>
        </w:tc>
      </w:tr>
      <w:tr w:rsidR="000364DD" w:rsidRPr="000364DD" w:rsidTr="00221720">
        <w:trPr>
          <w:trHeight w:val="33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E04212" w:rsidP="00844452">
            <w:pPr>
              <w:spacing w:line="276" w:lineRule="auto"/>
              <w:rPr>
                <w:b/>
              </w:rPr>
            </w:pPr>
            <w:r>
              <w:rPr>
                <w:b/>
              </w:rPr>
              <w:pict>
                <v:rect id="_x0000_i1025" style="width:0;height:1.5pt" o:hralign="center" o:hrstd="t" o:hr="t" fillcolor="gray" stroked="f"/>
              </w:pict>
            </w:r>
          </w:p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* Сбор данных осуществляется в целом по Российской Федерации без детализации по субъектам Российской Федерации. 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2.2.1. Удельный вес численности лиц, занимающихся во вторую или третью смены, в общей численности учащихся общеобразовательных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DE70A6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21,76</w:t>
            </w:r>
            <w:r w:rsidR="005C6249" w:rsidRPr="000364DD">
              <w:rPr>
                <w:b/>
              </w:rPr>
              <w:t>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2.2.2. Удельный вес численности лиц, углубленно изучающих отдельные предметы, в общей численности учащихся общеобразовательных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DE70A6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28,32</w:t>
            </w:r>
            <w:r w:rsidR="005C6249" w:rsidRPr="000364DD">
              <w:rPr>
                <w:b/>
              </w:rPr>
              <w:t>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2.3.1. Численность учащихся в общеобразовательных организациях в расчете на 1 педагогического работника.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DE70A6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9</w:t>
            </w:r>
            <w:r w:rsidR="005C6249" w:rsidRPr="000364DD">
              <w:rPr>
                <w:b/>
              </w:rPr>
              <w:t xml:space="preserve"> чел.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lastRenderedPageBreak/>
              <w:t xml:space="preserve">2.3.2. Удельный вес численности учителей в возрасте до 35 лет в общей численности учителей общеобразовательных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DE70A6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27,3</w:t>
            </w:r>
            <w:r w:rsidR="005C6249" w:rsidRPr="000364DD">
              <w:rPr>
                <w:b/>
              </w:rPr>
              <w:t xml:space="preserve">% 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педагогических работников – всего;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процент 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из них учителей.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процент 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2.4.1. Общая площадь всех помещений общеобразовательных организаций в расчете на одного учащегося.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72028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10,27 </w:t>
            </w:r>
            <w:proofErr w:type="spellStart"/>
            <w:r w:rsidR="005C6249" w:rsidRPr="000364DD">
              <w:rPr>
                <w:b/>
              </w:rPr>
              <w:t>кв.м</w:t>
            </w:r>
            <w:proofErr w:type="spellEnd"/>
            <w:r w:rsidR="005C6249" w:rsidRPr="000364DD">
              <w:rPr>
                <w:b/>
              </w:rPr>
              <w:t>.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2.4.2. Удельный вес числа организаций, имеющих водопровод, центральное отопление, канализацию, в общем числе общеобразовательных организаций: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водопровод;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100%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центральное отопление;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100%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канализацию.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100%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2.4.3. Число персональных компьютеров, используемых в учебных целях, в расчете на 100 учащихся общеобразовательных организаций: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всего;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765BB3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8,6</w:t>
            </w:r>
            <w:r w:rsidR="005C6249" w:rsidRPr="000364DD">
              <w:rPr>
                <w:b/>
              </w:rPr>
              <w:t xml:space="preserve"> ед.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proofErr w:type="gramStart"/>
            <w:r w:rsidRPr="000364DD">
              <w:rPr>
                <w:b/>
              </w:rPr>
              <w:t>имеющих</w:t>
            </w:r>
            <w:proofErr w:type="gramEnd"/>
            <w:r w:rsidRPr="000364DD">
              <w:rPr>
                <w:b/>
              </w:rPr>
              <w:t xml:space="preserve"> доступ к Интернету.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765BB3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5,7</w:t>
            </w:r>
            <w:r w:rsidR="005C6249" w:rsidRPr="000364DD">
              <w:rPr>
                <w:b/>
              </w:rPr>
              <w:t xml:space="preserve"> ед.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0364DD">
              <w:rPr>
                <w:b/>
              </w:rPr>
              <w:t>с</w:t>
            </w:r>
            <w:proofErr w:type="gramEnd"/>
            <w:r w:rsidRPr="000364DD">
              <w:rPr>
                <w:b/>
              </w:rPr>
              <w:t xml:space="preserve"> и выше, </w:t>
            </w:r>
            <w:proofErr w:type="gramStart"/>
            <w:r w:rsidRPr="000364DD">
              <w:rPr>
                <w:b/>
              </w:rPr>
              <w:t>в</w:t>
            </w:r>
            <w:proofErr w:type="gramEnd"/>
            <w:r w:rsidRPr="000364DD">
              <w:rPr>
                <w:b/>
              </w:rPr>
              <w:t xml:space="preserve"> общем числе общеобразовательных организаций, подключенных к сети Интернет.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625C17" w:rsidP="00844452">
            <w:pPr>
              <w:spacing w:line="276" w:lineRule="auto"/>
              <w:rPr>
                <w:b/>
              </w:rPr>
            </w:pPr>
            <w:r>
              <w:rPr>
                <w:b/>
              </w:rPr>
              <w:t>37,5</w:t>
            </w:r>
            <w:r w:rsidR="005C6249" w:rsidRPr="000364DD">
              <w:rPr>
                <w:b/>
              </w:rPr>
              <w:t>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2.5. Условия получения начального общего, основного общего и среднего общего образования лицами с ограниченными возможностями здоровья и инвалидами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005454" w:rsidP="00005454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     </w:t>
            </w:r>
            <w:r w:rsidR="003777BE" w:rsidRPr="000364DD">
              <w:rPr>
                <w:b/>
              </w:rPr>
              <w:t>100</w:t>
            </w:r>
            <w:r w:rsidRPr="000364DD">
              <w:rPr>
                <w:b/>
              </w:rPr>
              <w:t xml:space="preserve">  </w:t>
            </w:r>
            <w:r w:rsidR="005C6249" w:rsidRPr="000364DD">
              <w:rPr>
                <w:b/>
              </w:rPr>
              <w:t>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005454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    </w:t>
            </w:r>
            <w:r w:rsidR="003777BE" w:rsidRPr="000364DD">
              <w:rPr>
                <w:b/>
              </w:rPr>
              <w:t xml:space="preserve">100 </w:t>
            </w:r>
            <w:r w:rsidR="005C6249" w:rsidRPr="000364DD">
              <w:rPr>
                <w:b/>
              </w:rPr>
              <w:t>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2.6. Результаты аттестации лиц, обучающихся по образовательным </w:t>
            </w:r>
            <w:r w:rsidRPr="000364DD">
              <w:rPr>
                <w:b/>
              </w:rPr>
              <w:lastRenderedPageBreak/>
              <w:t xml:space="preserve">программам начального общего образования, основного общего образования и среднего общего образования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lastRenderedPageBreak/>
              <w:t xml:space="preserve">2.6.1. Отношение среднего балла единого государственного экзамена (далее –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0364DD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1,5</w:t>
            </w:r>
            <w:r w:rsidR="005C6249" w:rsidRPr="000364DD">
              <w:rPr>
                <w:b/>
              </w:rPr>
              <w:t xml:space="preserve"> раз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2.6.2. Среднее значение количества баллов по ЕГЭ, полученных выпускниками, освоившими образовательные программы среднего общего образования: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по математике;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0364DD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38,8</w:t>
            </w:r>
            <w:r w:rsidR="00625C17">
              <w:rPr>
                <w:b/>
              </w:rPr>
              <w:t xml:space="preserve"> 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по русскому языку.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0364DD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54,2</w:t>
            </w:r>
            <w:r w:rsidR="00625C17">
              <w:rPr>
                <w:b/>
              </w:rPr>
              <w:t xml:space="preserve"> </w:t>
            </w:r>
            <w:r w:rsidR="005C6249" w:rsidRPr="000364DD">
              <w:rPr>
                <w:b/>
              </w:rPr>
              <w:t xml:space="preserve"> 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2.6.3. Среднее значение количества баллов по государственной итоговой аттестации (далее – ГИА), полученных выпускниками, освоившими образовательные программы основного общего образования: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по математике;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0364DD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3,3</w:t>
            </w:r>
            <w:r w:rsidR="00625C17">
              <w:rPr>
                <w:b/>
              </w:rPr>
              <w:t xml:space="preserve"> 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по русскому языку.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0364DD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3,69</w:t>
            </w:r>
            <w:r w:rsidR="005C6249" w:rsidRPr="000364DD">
              <w:rPr>
                <w:b/>
              </w:rPr>
              <w:t xml:space="preserve"> 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по математике;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0,01%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по русскому языку.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0364DD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0,09</w:t>
            </w:r>
            <w:r w:rsidR="005C6249" w:rsidRPr="000364DD">
              <w:rPr>
                <w:b/>
              </w:rPr>
              <w:t>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по математике;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100% 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по русскому языку.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100%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0364DD">
              <w:rPr>
                <w:b/>
              </w:rPr>
              <w:t>здоровьесберегающие</w:t>
            </w:r>
            <w:proofErr w:type="spellEnd"/>
            <w:r w:rsidRPr="000364DD">
              <w:rPr>
                <w:b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2.7.1. Удельный вес лиц, обеспеченных горячим питанием, в общей численности обучающихся общеобразовательных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95,98%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2.7.2. Удельный вес числа организаций, имеющих логопедический пункт или логопедический кабинет, в общем числе общеобразовательных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40</w:t>
            </w:r>
            <w:r w:rsidR="00005454" w:rsidRPr="000364DD">
              <w:rPr>
                <w:b/>
              </w:rPr>
              <w:t>, 63</w:t>
            </w:r>
            <w:r w:rsidRPr="000364DD">
              <w:rPr>
                <w:b/>
              </w:rPr>
              <w:t>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2.7.3. Удельный вес числа организаций, имеющих физкультурные залы, в </w:t>
            </w:r>
            <w:r w:rsidRPr="000364DD">
              <w:rPr>
                <w:b/>
              </w:rPr>
              <w:lastRenderedPageBreak/>
              <w:t xml:space="preserve">общем числе общеобразовательных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3777BE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lastRenderedPageBreak/>
              <w:t>90,62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lastRenderedPageBreak/>
              <w:t xml:space="preserve">2.7.4. Удельный вес числа организаций, имеющих плавательные бассейны, в общем числе общеобразовательных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2.8.1. Темп роста числа общеобразовательных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0% 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2.9.1. Общий объем финансовых средств, поступивших в общеобразовательные организации, в расчете на одного учащегося.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3777BE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84,1</w:t>
            </w:r>
            <w:r w:rsidR="005C6249" w:rsidRPr="000364DD">
              <w:rPr>
                <w:b/>
              </w:rPr>
              <w:t>тыс</w:t>
            </w:r>
            <w:proofErr w:type="gramStart"/>
            <w:r w:rsidR="005C6249" w:rsidRPr="000364DD">
              <w:rPr>
                <w:b/>
              </w:rPr>
              <w:t>.р</w:t>
            </w:r>
            <w:proofErr w:type="gramEnd"/>
            <w:r w:rsidR="005C6249" w:rsidRPr="000364DD">
              <w:rPr>
                <w:b/>
              </w:rPr>
              <w:t xml:space="preserve">уб. 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2.9.2. Удельный вес финансовых средств от приносящей доход деятельности в общем объеме финансовых средств общеобразовательных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2.10. Создание безопасных условий при организации образовательного процесса в общеобразовательных организациях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2.10.1. Удельный вес числа организаций, имеющих пожарные краны и рукава, в общем числе общеобразовательных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21,9%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2.10.2. Удельный вес числа организаций, имеющих дымовые </w:t>
            </w:r>
            <w:proofErr w:type="spellStart"/>
            <w:r w:rsidRPr="000364DD">
              <w:rPr>
                <w:b/>
              </w:rPr>
              <w:t>извещатели</w:t>
            </w:r>
            <w:proofErr w:type="spellEnd"/>
            <w:r w:rsidRPr="000364DD">
              <w:rPr>
                <w:b/>
              </w:rPr>
              <w:t xml:space="preserve">, в общем числе общеобразовательных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100%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2.10.3. Удельный вес числа организаций, имеющих «тревожную кнопку», в общем числе общеобразовательных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18,8%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2.10.4. Удельный вес числа организаций, имеющих охрану, в общем числе общеобразовательных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2.10.5. Удельный вес числа организаций, имеющих систему видеонаблюдения, в общем числе общеобразовательных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18,8%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2.10.6. Удельный вес числа организаций, здания которых находятся в аварийном состоянии, в общем числе общеобразовательных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0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2.10.7. Удельный вес числа организаций, здания которых требуют капитального ремонта, в общем числе общеобразовательных организаций.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625C17" w:rsidP="0084445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3,12</w:t>
            </w:r>
            <w:r w:rsidR="005C6249" w:rsidRPr="000364DD">
              <w:rPr>
                <w:b/>
              </w:rPr>
              <w:t>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III. Дополнительное образование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 Сведения о развитии дополнительного образования детей и взрослых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5.1. Численность населения, обучающегося по дополнительным общеобразовательным программам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5.1.1. Охват детей в возрасте 5-18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лет).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3777BE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81,38</w:t>
            </w:r>
            <w:r w:rsidR="005C6249" w:rsidRPr="000364DD">
              <w:rPr>
                <w:b/>
              </w:rPr>
              <w:t>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lastRenderedPageBreak/>
              <w:t xml:space="preserve">5.2. Содержание образовательной деятельности и организация образовательного процесса по дополнительным общеобразовательным программам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70%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5.3. Кадровое обеспечение организаций, осуществляющих образовательную деятельность в части реализации дополнительных общеобразовательных программ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проценты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5.4.1. Общая площадь всех помещений организаций дополнительного образования в расчете на одного обучающегося.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2,65кв. м 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100%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водопровод: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100%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центральное отопление;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100%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канализацию.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100%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5.4.3. Число персональных компьютеров, используемых в учебных целях, в расчете на 100 обучающихся организаций дополнительного образования: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всего;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0,15 </w:t>
            </w:r>
            <w:proofErr w:type="spellStart"/>
            <w:proofErr w:type="gramStart"/>
            <w:r w:rsidRPr="000364DD">
              <w:rPr>
                <w:b/>
              </w:rPr>
              <w:t>ед</w:t>
            </w:r>
            <w:proofErr w:type="spellEnd"/>
            <w:proofErr w:type="gramEnd"/>
            <w:r w:rsidRPr="000364DD">
              <w:rPr>
                <w:b/>
              </w:rPr>
              <w:t xml:space="preserve"> 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proofErr w:type="gramStart"/>
            <w:r w:rsidRPr="000364DD">
              <w:rPr>
                <w:b/>
              </w:rPr>
              <w:t>имеющих</w:t>
            </w:r>
            <w:proofErr w:type="gramEnd"/>
            <w:r w:rsidRPr="000364DD">
              <w:rPr>
                <w:b/>
              </w:rPr>
              <w:t xml:space="preserve"> доступ к Интернету.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0,15 </w:t>
            </w:r>
            <w:proofErr w:type="spellStart"/>
            <w:proofErr w:type="gramStart"/>
            <w:r w:rsidRPr="000364DD">
              <w:rPr>
                <w:b/>
              </w:rPr>
              <w:t>ед</w:t>
            </w:r>
            <w:proofErr w:type="spellEnd"/>
            <w:proofErr w:type="gramEnd"/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5.5.1. Темп роста числа образовательных организаций дополнительного образования.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lastRenderedPageBreak/>
              <w:t xml:space="preserve">5.6.1. Общий объем финансовых средств, поступивших в образовательные организации дополнительного образования, в расчете на одного обучающегося.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8A3997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40</w:t>
            </w:r>
            <w:r w:rsidR="003777BE" w:rsidRPr="000364DD">
              <w:rPr>
                <w:b/>
              </w:rPr>
              <w:t xml:space="preserve">,1 </w:t>
            </w:r>
            <w:proofErr w:type="spellStart"/>
            <w:r w:rsidR="005C6249" w:rsidRPr="000364DD">
              <w:rPr>
                <w:b/>
              </w:rPr>
              <w:t>тыс</w:t>
            </w:r>
            <w:proofErr w:type="gramStart"/>
            <w:r w:rsidR="005C6249" w:rsidRPr="000364DD">
              <w:rPr>
                <w:b/>
              </w:rPr>
              <w:t>.р</w:t>
            </w:r>
            <w:proofErr w:type="gramEnd"/>
            <w:r w:rsidR="005C6249" w:rsidRPr="000364DD">
              <w:rPr>
                <w:b/>
              </w:rPr>
              <w:t>уб</w:t>
            </w:r>
            <w:proofErr w:type="spellEnd"/>
            <w:r w:rsidR="005C6249" w:rsidRPr="000364DD">
              <w:rPr>
                <w:b/>
              </w:rPr>
              <w:t xml:space="preserve">. 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5.7.1. Удельный вес числа организаций, имеющих филиалы, в общем числе образовательных организаций дополнительного образования.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50%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5.8.1. Удельный вес числа организаций, имеющих пожарные краны и рукава, в общем числе образовательных организаций дополнительного образования.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100%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5.8.2. Удельный вес числа организаций, имеющих дымовые </w:t>
            </w:r>
            <w:proofErr w:type="spellStart"/>
            <w:r w:rsidRPr="000364DD">
              <w:rPr>
                <w:b/>
              </w:rPr>
              <w:t>извещатели</w:t>
            </w:r>
            <w:proofErr w:type="spellEnd"/>
            <w:r w:rsidRPr="000364DD">
              <w:rPr>
                <w:b/>
              </w:rPr>
              <w:t xml:space="preserve">, в общем числе образовательных организаций дополнительного образования.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100%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0%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5.9. Учебные и </w:t>
            </w:r>
            <w:proofErr w:type="spellStart"/>
            <w:r w:rsidRPr="000364DD">
              <w:rPr>
                <w:b/>
              </w:rPr>
              <w:t>внеучебные</w:t>
            </w:r>
            <w:proofErr w:type="spellEnd"/>
            <w:r w:rsidRPr="000364DD">
              <w:rPr>
                <w:b/>
              </w:rPr>
              <w:t xml:space="preserve"> достижения лиц, обучающихся по программам дополнительного образования детей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5.9.1. 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0364DD">
              <w:rPr>
                <w:b/>
              </w:rPr>
              <w:t>обучающимися</w:t>
            </w:r>
            <w:proofErr w:type="gramEnd"/>
            <w:r w:rsidRPr="000364DD">
              <w:rPr>
                <w:b/>
              </w:rPr>
              <w:t xml:space="preserve">;*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проценты</w:t>
            </w:r>
          </w:p>
        </w:tc>
      </w:tr>
      <w:tr w:rsidR="000364DD" w:rsidRPr="000364DD" w:rsidTr="00221720">
        <w:trPr>
          <w:trHeight w:val="33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E04212" w:rsidP="00844452">
            <w:pPr>
              <w:spacing w:line="276" w:lineRule="auto"/>
              <w:rPr>
                <w:b/>
              </w:rPr>
            </w:pPr>
            <w:r>
              <w:rPr>
                <w:b/>
              </w:rPr>
              <w:pict>
                <v:rect id="_x0000_i1026" style="width:0;height:1.5pt" o:hralign="center" o:hrstd="t" o:hr="t" fillcolor="gray" stroked="f"/>
              </w:pict>
            </w:r>
          </w:p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* Сбор данных осуществляется в целом по Российской Федерации без детализации по субъектам Российской Федерации. 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выявление и развитие таланта и способностей обучающихся;*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проценты</w:t>
            </w:r>
          </w:p>
        </w:tc>
      </w:tr>
      <w:tr w:rsidR="000364DD" w:rsidRPr="000364DD" w:rsidTr="00221720">
        <w:trPr>
          <w:trHeight w:val="33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E04212" w:rsidP="00844452">
            <w:pPr>
              <w:spacing w:line="276" w:lineRule="auto"/>
              <w:rPr>
                <w:b/>
              </w:rPr>
            </w:pPr>
            <w:r>
              <w:rPr>
                <w:b/>
              </w:rPr>
              <w:pict>
                <v:rect id="_x0000_i1027" style="width:0;height:1.5pt" o:hralign="center" o:hrstd="t" o:hr="t" fillcolor="gray" stroked="f"/>
              </w:pict>
            </w:r>
          </w:p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* Сбор данных осуществляется в целом по Российской Федерации без детализации по </w:t>
            </w:r>
            <w:r w:rsidRPr="000364DD">
              <w:rPr>
                <w:b/>
              </w:rPr>
              <w:lastRenderedPageBreak/>
              <w:t xml:space="preserve">субъектам Российской Федерации. 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lastRenderedPageBreak/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0364DD">
              <w:rPr>
                <w:b/>
              </w:rPr>
              <w:t>обучающимися</w:t>
            </w:r>
            <w:proofErr w:type="gramEnd"/>
            <w:r w:rsidRPr="000364DD">
              <w:rPr>
                <w:b/>
              </w:rPr>
              <w:t xml:space="preserve">;*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100%</w:t>
            </w:r>
          </w:p>
        </w:tc>
      </w:tr>
      <w:tr w:rsidR="000364DD" w:rsidRPr="000364DD" w:rsidTr="00221720">
        <w:trPr>
          <w:trHeight w:val="33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E04212" w:rsidP="00844452">
            <w:pPr>
              <w:spacing w:line="276" w:lineRule="auto"/>
              <w:rPr>
                <w:b/>
              </w:rPr>
            </w:pPr>
            <w:r>
              <w:rPr>
                <w:b/>
              </w:rPr>
              <w:pict>
                <v:rect id="_x0000_i1028" style="width:0;height:1.5pt" o:hralign="center" o:hrstd="t" o:hr="t" fillcolor="gray" stroked="f"/>
              </w:pict>
            </w:r>
          </w:p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* Сбор данных осуществляется в целом по Российской Федерации без детализации по субъектам Российской Федерации. </w:t>
            </w:r>
          </w:p>
        </w:tc>
      </w:tr>
      <w:tr w:rsidR="000364DD" w:rsidRPr="000364DD" w:rsidTr="00844452">
        <w:trPr>
          <w:trHeight w:val="330"/>
        </w:trPr>
        <w:tc>
          <w:tcPr>
            <w:tcW w:w="4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улучшение знаний в рамках школьной программы </w:t>
            </w:r>
            <w:proofErr w:type="gramStart"/>
            <w:r w:rsidRPr="000364DD">
              <w:rPr>
                <w:b/>
              </w:rPr>
              <w:t>обучающимися</w:t>
            </w:r>
            <w:proofErr w:type="gramEnd"/>
            <w:r w:rsidRPr="000364DD">
              <w:rPr>
                <w:b/>
              </w:rPr>
              <w:t xml:space="preserve">.*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>25%</w:t>
            </w:r>
          </w:p>
        </w:tc>
      </w:tr>
      <w:tr w:rsidR="000364DD" w:rsidRPr="000364DD" w:rsidTr="00221720">
        <w:trPr>
          <w:trHeight w:val="33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6249" w:rsidRPr="000364DD" w:rsidRDefault="00E04212" w:rsidP="00844452">
            <w:pPr>
              <w:spacing w:line="276" w:lineRule="auto"/>
              <w:rPr>
                <w:b/>
              </w:rPr>
            </w:pPr>
            <w:r>
              <w:rPr>
                <w:b/>
              </w:rPr>
              <w:pict>
                <v:rect id="_x0000_i1029" style="width:0;height:1.5pt" o:hralign="center" o:hrstd="t" o:hr="t" fillcolor="gray" stroked="f"/>
              </w:pict>
            </w:r>
          </w:p>
          <w:p w:rsidR="005C6249" w:rsidRPr="000364DD" w:rsidRDefault="005C6249" w:rsidP="00844452">
            <w:pPr>
              <w:spacing w:line="276" w:lineRule="auto"/>
              <w:rPr>
                <w:b/>
              </w:rPr>
            </w:pPr>
            <w:r w:rsidRPr="000364DD">
              <w:rPr>
                <w:b/>
              </w:rPr>
              <w:t xml:space="preserve">* Сбор данных осуществляется в целом по Российской Федерации без детализации по субъектам Российской Федерации. </w:t>
            </w:r>
          </w:p>
        </w:tc>
      </w:tr>
    </w:tbl>
    <w:p w:rsidR="003B1AD5" w:rsidRPr="000364DD" w:rsidRDefault="003B1AD5" w:rsidP="00844452">
      <w:pPr>
        <w:spacing w:after="200" w:line="276" w:lineRule="auto"/>
        <w:rPr>
          <w:b/>
        </w:rPr>
      </w:pPr>
    </w:p>
    <w:p w:rsidR="00844452" w:rsidRPr="00844452" w:rsidRDefault="00844452" w:rsidP="00844452">
      <w:pPr>
        <w:spacing w:after="200" w:line="276" w:lineRule="auto"/>
        <w:rPr>
          <w:b/>
        </w:rPr>
      </w:pPr>
      <w:r w:rsidRPr="000364DD">
        <w:rPr>
          <w:b/>
        </w:rPr>
        <w:t xml:space="preserve">Руководитель МКУ «Управление образования»                                                       </w:t>
      </w:r>
      <w:proofErr w:type="spellStart"/>
      <w:r w:rsidRPr="000364DD">
        <w:rPr>
          <w:b/>
        </w:rPr>
        <w:t>С.</w:t>
      </w:r>
      <w:r>
        <w:rPr>
          <w:b/>
        </w:rPr>
        <w:t>В.Шитвин</w:t>
      </w:r>
      <w:proofErr w:type="spellEnd"/>
    </w:p>
    <w:sectPr w:rsidR="00844452" w:rsidRPr="00844452" w:rsidSect="008722B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6CF"/>
    <w:multiLevelType w:val="hybridMultilevel"/>
    <w:tmpl w:val="21A4DF1A"/>
    <w:lvl w:ilvl="0" w:tplc="750AA668">
      <w:start w:val="1"/>
      <w:numFmt w:val="upperRoman"/>
      <w:lvlText w:val="%1."/>
      <w:lvlJc w:val="left"/>
      <w:pPr>
        <w:ind w:left="862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1">
    <w:nsid w:val="0949721E"/>
    <w:multiLevelType w:val="hybridMultilevel"/>
    <w:tmpl w:val="5E70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71B36"/>
    <w:multiLevelType w:val="hybridMultilevel"/>
    <w:tmpl w:val="9892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0213A"/>
    <w:multiLevelType w:val="hybridMultilevel"/>
    <w:tmpl w:val="3FECD41C"/>
    <w:lvl w:ilvl="0" w:tplc="CC0C6F08">
      <w:start w:val="1"/>
      <w:numFmt w:val="upperRoman"/>
      <w:lvlText w:val="%1."/>
      <w:lvlJc w:val="left"/>
      <w:pPr>
        <w:ind w:left="128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044DDF"/>
    <w:multiLevelType w:val="multilevel"/>
    <w:tmpl w:val="326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24251"/>
    <w:multiLevelType w:val="hybridMultilevel"/>
    <w:tmpl w:val="A26C8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A864F1"/>
    <w:multiLevelType w:val="hybridMultilevel"/>
    <w:tmpl w:val="9E3CF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787EDE"/>
    <w:multiLevelType w:val="hybridMultilevel"/>
    <w:tmpl w:val="C42C7320"/>
    <w:lvl w:ilvl="0" w:tplc="0419000B">
      <w:start w:val="1"/>
      <w:numFmt w:val="bullet"/>
      <w:lvlText w:val=""/>
      <w:lvlJc w:val="left"/>
      <w:pPr>
        <w:ind w:left="14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8">
    <w:nsid w:val="3A4F374F"/>
    <w:multiLevelType w:val="hybridMultilevel"/>
    <w:tmpl w:val="18D05E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AE7CE6"/>
    <w:multiLevelType w:val="hybridMultilevel"/>
    <w:tmpl w:val="8304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02CB6"/>
    <w:multiLevelType w:val="hybridMultilevel"/>
    <w:tmpl w:val="1B40B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444E02"/>
    <w:multiLevelType w:val="multilevel"/>
    <w:tmpl w:val="762E3A8A"/>
    <w:lvl w:ilvl="0">
      <w:start w:val="2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32" w:hanging="390"/>
      </w:pPr>
    </w:lvl>
    <w:lvl w:ilvl="2">
      <w:start w:val="1"/>
      <w:numFmt w:val="decimal"/>
      <w:isLgl/>
      <w:lvlText w:val="%1.%2.%3"/>
      <w:lvlJc w:val="left"/>
      <w:pPr>
        <w:ind w:left="2062" w:hanging="720"/>
      </w:pPr>
    </w:lvl>
    <w:lvl w:ilvl="3">
      <w:start w:val="1"/>
      <w:numFmt w:val="decimal"/>
      <w:isLgl/>
      <w:lvlText w:val="%1.%2.%3.%4"/>
      <w:lvlJc w:val="left"/>
      <w:pPr>
        <w:ind w:left="2662" w:hanging="720"/>
      </w:pPr>
    </w:lvl>
    <w:lvl w:ilvl="4">
      <w:start w:val="1"/>
      <w:numFmt w:val="decimal"/>
      <w:isLgl/>
      <w:lvlText w:val="%1.%2.%3.%4.%5"/>
      <w:lvlJc w:val="left"/>
      <w:pPr>
        <w:ind w:left="3622" w:hanging="1080"/>
      </w:pPr>
    </w:lvl>
    <w:lvl w:ilvl="5">
      <w:start w:val="1"/>
      <w:numFmt w:val="decimal"/>
      <w:isLgl/>
      <w:lvlText w:val="%1.%2.%3.%4.%5.%6"/>
      <w:lvlJc w:val="left"/>
      <w:pPr>
        <w:ind w:left="4222" w:hanging="1080"/>
      </w:pPr>
    </w:lvl>
    <w:lvl w:ilvl="6">
      <w:start w:val="1"/>
      <w:numFmt w:val="decimal"/>
      <w:isLgl/>
      <w:lvlText w:val="%1.%2.%3.%4.%5.%6.%7"/>
      <w:lvlJc w:val="left"/>
      <w:pPr>
        <w:ind w:left="5182" w:hanging="1440"/>
      </w:pPr>
    </w:lvl>
    <w:lvl w:ilvl="7">
      <w:start w:val="1"/>
      <w:numFmt w:val="decimal"/>
      <w:isLgl/>
      <w:lvlText w:val="%1.%2.%3.%4.%5.%6.%7.%8"/>
      <w:lvlJc w:val="left"/>
      <w:pPr>
        <w:ind w:left="5782" w:hanging="1440"/>
      </w:pPr>
    </w:lvl>
    <w:lvl w:ilvl="8">
      <w:start w:val="1"/>
      <w:numFmt w:val="decimal"/>
      <w:isLgl/>
      <w:lvlText w:val="%1.%2.%3.%4.%5.%6.%7.%8.%9"/>
      <w:lvlJc w:val="left"/>
      <w:pPr>
        <w:ind w:left="6742" w:hanging="1800"/>
      </w:pPr>
    </w:lvl>
  </w:abstractNum>
  <w:abstractNum w:abstractNumId="12">
    <w:nsid w:val="4E4866B2"/>
    <w:multiLevelType w:val="hybridMultilevel"/>
    <w:tmpl w:val="78388B8C"/>
    <w:lvl w:ilvl="0" w:tplc="3B56B9D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CD4394"/>
    <w:multiLevelType w:val="hybridMultilevel"/>
    <w:tmpl w:val="5B30C8E6"/>
    <w:lvl w:ilvl="0" w:tplc="AF980A46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534A0323"/>
    <w:multiLevelType w:val="hybridMultilevel"/>
    <w:tmpl w:val="E976E2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557F28B1"/>
    <w:multiLevelType w:val="hybridMultilevel"/>
    <w:tmpl w:val="689A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53CEF"/>
    <w:multiLevelType w:val="hybridMultilevel"/>
    <w:tmpl w:val="D81C285A"/>
    <w:lvl w:ilvl="0" w:tplc="3B56B9D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B61A34"/>
    <w:multiLevelType w:val="hybridMultilevel"/>
    <w:tmpl w:val="D1C060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2B55F51"/>
    <w:multiLevelType w:val="hybridMultilevel"/>
    <w:tmpl w:val="DBBEBA40"/>
    <w:lvl w:ilvl="0" w:tplc="2580193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74A37259"/>
    <w:multiLevelType w:val="hybridMultilevel"/>
    <w:tmpl w:val="24B494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67C47FE"/>
    <w:multiLevelType w:val="hybridMultilevel"/>
    <w:tmpl w:val="7774FA76"/>
    <w:lvl w:ilvl="0" w:tplc="49964E00">
      <w:start w:val="1"/>
      <w:numFmt w:val="decimal"/>
      <w:lvlText w:val="%1."/>
      <w:lvlJc w:val="left"/>
      <w:pPr>
        <w:ind w:left="927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</w:num>
  <w:num w:numId="14">
    <w:abstractNumId w:val="12"/>
  </w:num>
  <w:num w:numId="15">
    <w:abstractNumId w:val="0"/>
  </w:num>
  <w:num w:numId="16">
    <w:abstractNumId w:val="14"/>
  </w:num>
  <w:num w:numId="17">
    <w:abstractNumId w:val="10"/>
  </w:num>
  <w:num w:numId="18">
    <w:abstractNumId w:val="6"/>
  </w:num>
  <w:num w:numId="19">
    <w:abstractNumId w:val="17"/>
  </w:num>
  <w:num w:numId="20">
    <w:abstractNumId w:val="7"/>
  </w:num>
  <w:num w:numId="21">
    <w:abstractNumId w:val="19"/>
  </w:num>
  <w:num w:numId="22">
    <w:abstractNumId w:val="15"/>
  </w:num>
  <w:num w:numId="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C6"/>
    <w:rsid w:val="00005454"/>
    <w:rsid w:val="00026D6C"/>
    <w:rsid w:val="000364DD"/>
    <w:rsid w:val="000A2AE0"/>
    <w:rsid w:val="000E3DA6"/>
    <w:rsid w:val="000F54B7"/>
    <w:rsid w:val="00101FBE"/>
    <w:rsid w:val="00101FD9"/>
    <w:rsid w:val="00106BB5"/>
    <w:rsid w:val="0015397E"/>
    <w:rsid w:val="00167788"/>
    <w:rsid w:val="001916F9"/>
    <w:rsid w:val="00193F3D"/>
    <w:rsid w:val="001A0D84"/>
    <w:rsid w:val="001A7B48"/>
    <w:rsid w:val="001B52FC"/>
    <w:rsid w:val="001C1AB2"/>
    <w:rsid w:val="001D2B93"/>
    <w:rsid w:val="001E1493"/>
    <w:rsid w:val="00216195"/>
    <w:rsid w:val="00221720"/>
    <w:rsid w:val="00235DF9"/>
    <w:rsid w:val="00282750"/>
    <w:rsid w:val="002B093E"/>
    <w:rsid w:val="002B3284"/>
    <w:rsid w:val="002B76A6"/>
    <w:rsid w:val="002E46A1"/>
    <w:rsid w:val="002F1B51"/>
    <w:rsid w:val="0031183A"/>
    <w:rsid w:val="00337B37"/>
    <w:rsid w:val="00346B58"/>
    <w:rsid w:val="0035397E"/>
    <w:rsid w:val="00367272"/>
    <w:rsid w:val="003777BE"/>
    <w:rsid w:val="003943AD"/>
    <w:rsid w:val="003A1697"/>
    <w:rsid w:val="003B1AD5"/>
    <w:rsid w:val="003D6EF4"/>
    <w:rsid w:val="004260FB"/>
    <w:rsid w:val="004336FB"/>
    <w:rsid w:val="00455FD9"/>
    <w:rsid w:val="00472379"/>
    <w:rsid w:val="00474D03"/>
    <w:rsid w:val="00482722"/>
    <w:rsid w:val="00484962"/>
    <w:rsid w:val="004B3393"/>
    <w:rsid w:val="004D26A9"/>
    <w:rsid w:val="004E5B5D"/>
    <w:rsid w:val="004F5D71"/>
    <w:rsid w:val="00506D32"/>
    <w:rsid w:val="00572028"/>
    <w:rsid w:val="00577E04"/>
    <w:rsid w:val="005C5E3F"/>
    <w:rsid w:val="005C6249"/>
    <w:rsid w:val="005E510F"/>
    <w:rsid w:val="006025F7"/>
    <w:rsid w:val="0061090C"/>
    <w:rsid w:val="00625C17"/>
    <w:rsid w:val="006472AB"/>
    <w:rsid w:val="00696229"/>
    <w:rsid w:val="006A5580"/>
    <w:rsid w:val="00702A88"/>
    <w:rsid w:val="00720DC6"/>
    <w:rsid w:val="00746CF6"/>
    <w:rsid w:val="00765BB3"/>
    <w:rsid w:val="00784558"/>
    <w:rsid w:val="00792774"/>
    <w:rsid w:val="007F5C9F"/>
    <w:rsid w:val="00834AA0"/>
    <w:rsid w:val="0083555A"/>
    <w:rsid w:val="00842D01"/>
    <w:rsid w:val="00844452"/>
    <w:rsid w:val="008571E9"/>
    <w:rsid w:val="008722B8"/>
    <w:rsid w:val="00894F40"/>
    <w:rsid w:val="00895805"/>
    <w:rsid w:val="00896D21"/>
    <w:rsid w:val="008A3997"/>
    <w:rsid w:val="008B3FA4"/>
    <w:rsid w:val="008B4967"/>
    <w:rsid w:val="008C1B2A"/>
    <w:rsid w:val="00903F69"/>
    <w:rsid w:val="00972A91"/>
    <w:rsid w:val="00981989"/>
    <w:rsid w:val="00992F1C"/>
    <w:rsid w:val="00995B9A"/>
    <w:rsid w:val="00996967"/>
    <w:rsid w:val="009B5462"/>
    <w:rsid w:val="009B6211"/>
    <w:rsid w:val="009C1374"/>
    <w:rsid w:val="009D715C"/>
    <w:rsid w:val="009F6FA7"/>
    <w:rsid w:val="00A171E6"/>
    <w:rsid w:val="00A363B2"/>
    <w:rsid w:val="00A41BB6"/>
    <w:rsid w:val="00A72BDE"/>
    <w:rsid w:val="00A8410B"/>
    <w:rsid w:val="00A9069C"/>
    <w:rsid w:val="00A95F6B"/>
    <w:rsid w:val="00A9738C"/>
    <w:rsid w:val="00AA0347"/>
    <w:rsid w:val="00AB195F"/>
    <w:rsid w:val="00AD7FDC"/>
    <w:rsid w:val="00AE78FC"/>
    <w:rsid w:val="00AF5527"/>
    <w:rsid w:val="00B45352"/>
    <w:rsid w:val="00B6430C"/>
    <w:rsid w:val="00B867E5"/>
    <w:rsid w:val="00BA4211"/>
    <w:rsid w:val="00BA4955"/>
    <w:rsid w:val="00C20160"/>
    <w:rsid w:val="00C353D3"/>
    <w:rsid w:val="00C4512A"/>
    <w:rsid w:val="00CC5043"/>
    <w:rsid w:val="00CD4A75"/>
    <w:rsid w:val="00CE4D99"/>
    <w:rsid w:val="00CF015F"/>
    <w:rsid w:val="00D227B3"/>
    <w:rsid w:val="00D34300"/>
    <w:rsid w:val="00DA1E58"/>
    <w:rsid w:val="00DA6E6C"/>
    <w:rsid w:val="00DB44C3"/>
    <w:rsid w:val="00DE70A6"/>
    <w:rsid w:val="00DF3D4E"/>
    <w:rsid w:val="00E04212"/>
    <w:rsid w:val="00E05D66"/>
    <w:rsid w:val="00E25971"/>
    <w:rsid w:val="00E35AE6"/>
    <w:rsid w:val="00E36189"/>
    <w:rsid w:val="00E37CD7"/>
    <w:rsid w:val="00E460F8"/>
    <w:rsid w:val="00E6030D"/>
    <w:rsid w:val="00E742B8"/>
    <w:rsid w:val="00E92738"/>
    <w:rsid w:val="00EF53C5"/>
    <w:rsid w:val="00EF5C4E"/>
    <w:rsid w:val="00F04C1F"/>
    <w:rsid w:val="00F324A2"/>
    <w:rsid w:val="00F35707"/>
    <w:rsid w:val="00F37886"/>
    <w:rsid w:val="00FB37B3"/>
    <w:rsid w:val="00FC61D9"/>
    <w:rsid w:val="00FE2F07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1">
    <w:name w:val="No Spacing Char1"/>
    <w:link w:val="1"/>
    <w:locked/>
    <w:rsid w:val="00E37CD7"/>
    <w:rPr>
      <w:rFonts w:ascii="Calibri" w:hAnsi="Calibri"/>
    </w:rPr>
  </w:style>
  <w:style w:type="paragraph" w:customStyle="1" w:styleId="1">
    <w:name w:val="Без интервала1"/>
    <w:link w:val="NoSpacingChar1"/>
    <w:rsid w:val="00E37CD7"/>
    <w:pPr>
      <w:spacing w:after="0" w:line="240" w:lineRule="auto"/>
    </w:pPr>
    <w:rPr>
      <w:rFonts w:ascii="Calibri" w:hAnsi="Calibri"/>
    </w:rPr>
  </w:style>
  <w:style w:type="paragraph" w:styleId="a3">
    <w:name w:val="List Paragraph"/>
    <w:basedOn w:val="a"/>
    <w:uiPriority w:val="34"/>
    <w:qFormat/>
    <w:rsid w:val="002B76A6"/>
    <w:pPr>
      <w:ind w:left="720"/>
      <w:contextualSpacing/>
    </w:pPr>
  </w:style>
  <w:style w:type="table" w:styleId="a4">
    <w:name w:val="Table Grid"/>
    <w:basedOn w:val="a1"/>
    <w:uiPriority w:val="59"/>
    <w:rsid w:val="002B3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742B8"/>
  </w:style>
  <w:style w:type="paragraph" w:styleId="a6">
    <w:name w:val="Balloon Text"/>
    <w:basedOn w:val="a"/>
    <w:link w:val="a7"/>
    <w:uiPriority w:val="99"/>
    <w:semiHidden/>
    <w:unhideWhenUsed/>
    <w:rsid w:val="00E742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2B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906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1">
    <w:name w:val="No Spacing Char1"/>
    <w:link w:val="1"/>
    <w:locked/>
    <w:rsid w:val="00E37CD7"/>
    <w:rPr>
      <w:rFonts w:ascii="Calibri" w:hAnsi="Calibri"/>
    </w:rPr>
  </w:style>
  <w:style w:type="paragraph" w:customStyle="1" w:styleId="1">
    <w:name w:val="Без интервала1"/>
    <w:link w:val="NoSpacingChar1"/>
    <w:rsid w:val="00E37CD7"/>
    <w:pPr>
      <w:spacing w:after="0" w:line="240" w:lineRule="auto"/>
    </w:pPr>
    <w:rPr>
      <w:rFonts w:ascii="Calibri" w:hAnsi="Calibri"/>
    </w:rPr>
  </w:style>
  <w:style w:type="paragraph" w:styleId="a3">
    <w:name w:val="List Paragraph"/>
    <w:basedOn w:val="a"/>
    <w:uiPriority w:val="34"/>
    <w:qFormat/>
    <w:rsid w:val="002B76A6"/>
    <w:pPr>
      <w:ind w:left="720"/>
      <w:contextualSpacing/>
    </w:pPr>
  </w:style>
  <w:style w:type="table" w:styleId="a4">
    <w:name w:val="Table Grid"/>
    <w:basedOn w:val="a1"/>
    <w:uiPriority w:val="59"/>
    <w:rsid w:val="002B3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742B8"/>
  </w:style>
  <w:style w:type="paragraph" w:styleId="a6">
    <w:name w:val="Balloon Text"/>
    <w:basedOn w:val="a"/>
    <w:link w:val="a7"/>
    <w:uiPriority w:val="99"/>
    <w:semiHidden/>
    <w:unhideWhenUsed/>
    <w:rsid w:val="00E742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2B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90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6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4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1%80%D0%B0%D1%81%D1%83%D0%BA_(%D0%B3%D0%BE%D1%80%D0%BE%D0%B4)" TargetMode="External"/><Relationship Id="rId13" Type="http://schemas.openxmlformats.org/officeDocument/2006/relationships/hyperlink" Target="https://ru.wikipedia.org/wiki/%D0%9A%D1%80%D0%B0%D1%81%D0%BD%D0%BE%D0%B7%D1%91%D1%80%D1%81%D0%BA%D0%B8%D0%B9_%D1%80%D0%B0%D0%B9%D0%BE%D0%BD" TargetMode="External"/><Relationship Id="rId18" Type="http://schemas.openxmlformats.org/officeDocument/2006/relationships/hyperlink" Target="https://ru.wikipedia.org/wiki/%D0%9A%D1%83%D0%BB%D1%83%D0%BD%D0%B4%D0%B0_(%D1%81%D1%82%D0%B0%D0%BD%D1%86%D0%B8%D1%8F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7%D0%B0%D0%BF%D0%B0%D0%B4%D0%BD%D0%BE-%D0%A1%D0%B8%D0%B1%D0%B8%D1%80%D1%81%D0%BA%D0%B0%D1%8F_%D0%B6%D0%B5%D0%BB%D0%B5%D0%B7%D0%BD%D0%B0%D1%8F_%D0%B4%D0%BE%D1%80%D0%BE%D0%B3%D0%B0" TargetMode="External"/><Relationship Id="rId7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12" Type="http://schemas.openxmlformats.org/officeDocument/2006/relationships/hyperlink" Target="https://ru.wikipedia.org/wiki/%D0%97%D0%B4%D0%B2%D0%B8%D0%BD%D1%81%D0%BA%D0%B8%D0%B9_%D1%80%D0%B0%D0%B9%D0%BE%D0%BD" TargetMode="External"/><Relationship Id="rId17" Type="http://schemas.openxmlformats.org/officeDocument/2006/relationships/hyperlink" Target="https://ru.wikipedia.org/wiki/%D0%A2%D0%B0%D1%82%D0%B0%D1%80%D1%81%D0%B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0%D1%80%D0%B0%D1%81%D1%83%D0%BA_(%D0%B3%D0%BE%D1%80%D0%BE%D0%B4)" TargetMode="External"/><Relationship Id="rId20" Type="http://schemas.openxmlformats.org/officeDocument/2006/relationships/hyperlink" Target="https://ru.wikipedia.org/wiki/%D0%9A%D0%BE%D0%BA%D1%88%D0%B5%D1%82%D0%B0%D1%8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1%D0%B0%D0%B3%D0%B0%D0%BD%D1%81%D0%BA%D0%B8%D0%B9_%D1%80%D0%B0%D0%B9%D0%BE%D0%B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0%D0%B7%D0%B0%D1%85%D1%81%D1%82%D0%B0%D0%BD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s://ru.wikipedia.org/wiki/%D0%9D%D0%BE%D0%B2%D0%BE%D1%81%D0%B8%D0%B1%D0%B8%D1%80%D1%81%D0%BA%D0%B0%D1%8F_%D0%BE%D0%B1%D0%BB%D0%B0%D1%81%D1%82%D1%8C" TargetMode="External"/><Relationship Id="rId19" Type="http://schemas.openxmlformats.org/officeDocument/2006/relationships/hyperlink" Target="https://ru.wikipedia.org/wiki/%D0%9A%D0%B0%D0%BC%D0%B5%D0%BD%D1%8C-%D0%BD%D0%B0-%D0%9E%D0%B1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25" TargetMode="External"/><Relationship Id="rId14" Type="http://schemas.openxmlformats.org/officeDocument/2006/relationships/hyperlink" Target="https://ru.wikipedia.org/wiki/%D0%90%D0%BB%D1%82%D0%B0%D0%B9%D1%81%D0%BA%D0%B8%D0%B9_%D0%BA%D1%80%D0%B0%D0%B9" TargetMode="External"/><Relationship Id="rId22" Type="http://schemas.openxmlformats.org/officeDocument/2006/relationships/hyperlink" Target="mailto:uokaras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17</Pages>
  <Words>6071</Words>
  <Characters>34606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psp2</cp:lastModifiedBy>
  <cp:revision>18</cp:revision>
  <cp:lastPrinted>2015-10-27T02:31:00Z</cp:lastPrinted>
  <dcterms:created xsi:type="dcterms:W3CDTF">2015-09-23T04:12:00Z</dcterms:created>
  <dcterms:modified xsi:type="dcterms:W3CDTF">2015-10-27T02:49:00Z</dcterms:modified>
</cp:coreProperties>
</file>